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B444BE9" w:rsidR="003676DA" w:rsidRPr="00414D4C" w:rsidRDefault="00202EFE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EF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Los Angeles Conservation Corps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B444BE9" w:rsidR="003676DA" w:rsidRPr="00414D4C" w:rsidRDefault="00202EFE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EF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Los Angeles Conservation Corps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587803CD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615E0D">
        <w:rPr>
          <w:rFonts w:ascii="Arial" w:hAnsi="Arial" w:cs="Arial"/>
          <w:sz w:val="22"/>
          <w:szCs w:val="22"/>
        </w:rPr>
        <w:t>5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0F36BB99" w14:textId="01E7EDBD" w:rsidR="00615E0D" w:rsidRDefault="00615E0D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615E0D">
        <w:rPr>
          <w:rFonts w:ascii="Arial" w:hAnsi="Arial" w:cs="Arial"/>
          <w:sz w:val="22"/>
          <w:szCs w:val="22"/>
        </w:rPr>
        <w:t>#4</w:t>
      </w:r>
      <w:r w:rsidR="00FA193D">
        <w:rPr>
          <w:rFonts w:ascii="Arial" w:hAnsi="Arial" w:cs="Arial"/>
          <w:sz w:val="22"/>
          <w:szCs w:val="22"/>
        </w:rPr>
        <w:t xml:space="preserve"> – </w:t>
      </w:r>
      <w:r w:rsidRPr="00615E0D">
        <w:rPr>
          <w:rFonts w:ascii="Arial" w:hAnsi="Arial" w:cs="Arial"/>
          <w:sz w:val="22"/>
          <w:szCs w:val="22"/>
        </w:rPr>
        <w:t>Applicant's information does not match the land manager's. Deduct 1 point.</w:t>
      </w:r>
    </w:p>
    <w:p w14:paraId="2D60FF0C" w14:textId="1A8DC34C" w:rsidR="00615E0D" w:rsidRDefault="00615E0D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615E0D">
        <w:rPr>
          <w:rFonts w:ascii="Arial" w:hAnsi="Arial" w:cs="Arial"/>
          <w:sz w:val="22"/>
          <w:szCs w:val="22"/>
        </w:rPr>
        <w:t>#5</w:t>
      </w:r>
      <w:r w:rsidR="00FA193D">
        <w:rPr>
          <w:rFonts w:ascii="Arial" w:hAnsi="Arial" w:cs="Arial"/>
          <w:sz w:val="22"/>
          <w:szCs w:val="22"/>
        </w:rPr>
        <w:t xml:space="preserve"> – </w:t>
      </w:r>
      <w:r w:rsidRPr="00615E0D">
        <w:rPr>
          <w:rFonts w:ascii="Arial" w:hAnsi="Arial" w:cs="Arial"/>
          <w:sz w:val="22"/>
          <w:szCs w:val="22"/>
        </w:rPr>
        <w:t>Applicant is a first time Applicant. Add 5 points.</w:t>
      </w:r>
    </w:p>
    <w:p w14:paraId="3E8BCEA1" w14:textId="0A1A1EA5" w:rsidR="00615E0D" w:rsidRPr="007A34A5" w:rsidRDefault="00615E0D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615E0D">
        <w:rPr>
          <w:rFonts w:ascii="Arial" w:hAnsi="Arial" w:cs="Arial"/>
          <w:sz w:val="22"/>
          <w:szCs w:val="22"/>
        </w:rPr>
        <w:t>#6</w:t>
      </w:r>
      <w:r w:rsidR="00FA193D">
        <w:rPr>
          <w:rFonts w:ascii="Arial" w:hAnsi="Arial" w:cs="Arial"/>
          <w:sz w:val="22"/>
          <w:szCs w:val="22"/>
        </w:rPr>
        <w:t xml:space="preserve"> – </w:t>
      </w:r>
      <w:r w:rsidRPr="00615E0D">
        <w:rPr>
          <w:rFonts w:ascii="Arial" w:hAnsi="Arial" w:cs="Arial"/>
          <w:sz w:val="22"/>
          <w:szCs w:val="22"/>
        </w:rPr>
        <w:t>Applicant is a first time Applicant. Add 2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23CC7847" w:rsidR="00514C2A" w:rsidRDefault="00615E0D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762EFC3A" wp14:editId="57530805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ADA7B" w14:textId="77777777" w:rsidR="00615E0D" w:rsidRPr="00B87F70" w:rsidRDefault="00615E0D" w:rsidP="00615E0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Restoration, </w:t>
                            </w:r>
                            <w:r w:rsidRPr="00202EF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G21-04-35-R01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EFC3A" id="Rectangle 7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43EADA7B" w14:textId="77777777" w:rsidR="00615E0D" w:rsidRPr="00B87F70" w:rsidRDefault="00615E0D" w:rsidP="00615E0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Restoration, </w:t>
                      </w:r>
                      <w:r w:rsidRPr="00202EF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G21-04-35-R01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0B5DD1B0" w:rsidR="00687C41" w:rsidRDefault="00615E0D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5396A5CF" w:rsidR="00457CF1" w:rsidRPr="00615E0D" w:rsidRDefault="00615E0D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/>
          <w:sz w:val="22"/>
          <w:szCs w:val="22"/>
        </w:rPr>
      </w:pPr>
      <w:r w:rsidRPr="00615E0D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56B3C137" w:rsidR="00457CF1" w:rsidRPr="00615E0D" w:rsidRDefault="00615E0D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/>
          <w:sz w:val="22"/>
          <w:szCs w:val="22"/>
        </w:rPr>
      </w:pPr>
      <w:r w:rsidRPr="00615E0D">
        <w:rPr>
          <w:rFonts w:ascii="Arial" w:hAnsi="Arial" w:cs="Arial"/>
          <w:bCs/>
          <w:i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175AAF2B" w:rsidR="00457CF1" w:rsidRPr="00615E0D" w:rsidRDefault="00615E0D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/>
          <w:sz w:val="22"/>
          <w:szCs w:val="22"/>
        </w:rPr>
      </w:pPr>
      <w:r w:rsidRPr="00615E0D">
        <w:rPr>
          <w:rFonts w:ascii="Arial" w:hAnsi="Arial" w:cs="Arial"/>
          <w:bCs/>
          <w:i/>
          <w:sz w:val="22"/>
          <w:szCs w:val="22"/>
        </w:rPr>
        <w:t>No change.</w:t>
      </w:r>
    </w:p>
    <w:p w14:paraId="1C23D2B1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9660F1" w14:textId="31AA1013" w:rsidR="008616EC" w:rsidRPr="00615E0D" w:rsidRDefault="00615E0D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615E0D">
        <w:rPr>
          <w:rFonts w:ascii="Arial" w:hAnsi="Arial" w:cs="Arial"/>
          <w:bCs/>
          <w:i/>
          <w:sz w:val="22"/>
          <w:szCs w:val="22"/>
        </w:rPr>
        <w:t>No change.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2796527" w14:textId="77777777" w:rsidR="00615E0D" w:rsidRDefault="00615E0D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63EB18B4" w14:textId="2754FCF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5805E511" w:rsidR="00F04D40" w:rsidRDefault="00615E0D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615E0D">
        <w:rPr>
          <w:rFonts w:ascii="Arial" w:hAnsi="Arial" w:cs="Arial"/>
          <w:sz w:val="22"/>
          <w:szCs w:val="22"/>
        </w:rPr>
        <w:t>#2</w:t>
      </w:r>
      <w:r w:rsidR="00FA193D">
        <w:rPr>
          <w:rFonts w:ascii="Arial" w:hAnsi="Arial" w:cs="Arial"/>
          <w:sz w:val="22"/>
          <w:szCs w:val="22"/>
        </w:rPr>
        <w:t xml:space="preserve"> – </w:t>
      </w:r>
      <w:r w:rsidRPr="00615E0D">
        <w:rPr>
          <w:rFonts w:ascii="Arial" w:hAnsi="Arial" w:cs="Arial"/>
          <w:sz w:val="22"/>
          <w:szCs w:val="22"/>
        </w:rPr>
        <w:t xml:space="preserve">Narrative does not support </w:t>
      </w:r>
      <w:r w:rsidR="007F6D33">
        <w:rPr>
          <w:rFonts w:ascii="Arial" w:hAnsi="Arial" w:cs="Arial"/>
          <w:sz w:val="22"/>
          <w:szCs w:val="22"/>
        </w:rPr>
        <w:t>“</w:t>
      </w:r>
      <w:r w:rsidRPr="00615E0D">
        <w:rPr>
          <w:rFonts w:ascii="Arial" w:hAnsi="Arial" w:cs="Arial"/>
          <w:sz w:val="22"/>
          <w:szCs w:val="22"/>
        </w:rPr>
        <w:t>Archeological and historical resources...</w:t>
      </w:r>
      <w:r w:rsidR="007F6D33">
        <w:rPr>
          <w:rFonts w:ascii="Arial" w:hAnsi="Arial" w:cs="Arial"/>
          <w:sz w:val="22"/>
          <w:szCs w:val="22"/>
        </w:rPr>
        <w:t>”</w:t>
      </w:r>
      <w:r w:rsidRPr="00615E0D">
        <w:rPr>
          <w:rFonts w:ascii="Arial" w:hAnsi="Arial" w:cs="Arial"/>
          <w:sz w:val="22"/>
          <w:szCs w:val="22"/>
        </w:rPr>
        <w:t xml:space="preserve"> Applicant did not identify any archeological and historical resources that would be adversely impacted if the project failed to be funded. Deduct 3 points.</w:t>
      </w:r>
    </w:p>
    <w:p w14:paraId="597EFEF2" w14:textId="73A0AF02" w:rsidR="00615E0D" w:rsidRDefault="00615E0D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615E0D">
        <w:rPr>
          <w:rFonts w:ascii="Arial" w:hAnsi="Arial" w:cs="Arial"/>
          <w:sz w:val="22"/>
          <w:szCs w:val="22"/>
        </w:rPr>
        <w:t>#3</w:t>
      </w:r>
      <w:r w:rsidR="00FA193D">
        <w:rPr>
          <w:rFonts w:ascii="Arial" w:hAnsi="Arial" w:cs="Arial"/>
          <w:sz w:val="22"/>
          <w:szCs w:val="22"/>
        </w:rPr>
        <w:t xml:space="preserve"> – </w:t>
      </w:r>
      <w:r w:rsidRPr="00615E0D">
        <w:rPr>
          <w:rFonts w:ascii="Arial" w:hAnsi="Arial" w:cs="Arial"/>
          <w:sz w:val="22"/>
          <w:szCs w:val="22"/>
        </w:rPr>
        <w:t>Narrative does not support selection.  The Land Manager's permission letter is not a viable reference document. Deduct 4 points.</w:t>
      </w:r>
    </w:p>
    <w:p w14:paraId="4450AFFF" w14:textId="398C6B82" w:rsidR="00615E0D" w:rsidRPr="00A72250" w:rsidRDefault="00615E0D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615E0D">
        <w:rPr>
          <w:rFonts w:ascii="Arial" w:hAnsi="Arial" w:cs="Arial"/>
          <w:sz w:val="22"/>
          <w:szCs w:val="22"/>
        </w:rPr>
        <w:t>#11</w:t>
      </w:r>
      <w:r w:rsidR="00FA193D">
        <w:rPr>
          <w:rFonts w:ascii="Arial" w:hAnsi="Arial" w:cs="Arial"/>
          <w:sz w:val="22"/>
          <w:szCs w:val="22"/>
        </w:rPr>
        <w:t xml:space="preserve"> – </w:t>
      </w:r>
      <w:r w:rsidRPr="00615E0D">
        <w:rPr>
          <w:rFonts w:ascii="Arial" w:hAnsi="Arial" w:cs="Arial"/>
          <w:sz w:val="22"/>
          <w:szCs w:val="22"/>
        </w:rPr>
        <w:t xml:space="preserve">Narrative does not support </w:t>
      </w:r>
      <w:r w:rsidR="007F6D33">
        <w:rPr>
          <w:rFonts w:ascii="Arial" w:hAnsi="Arial" w:cs="Arial"/>
          <w:sz w:val="22"/>
          <w:szCs w:val="22"/>
        </w:rPr>
        <w:t>“</w:t>
      </w:r>
      <w:r w:rsidRPr="00615E0D">
        <w:rPr>
          <w:rFonts w:ascii="Arial" w:hAnsi="Arial" w:cs="Arial"/>
          <w:sz w:val="22"/>
          <w:szCs w:val="22"/>
        </w:rPr>
        <w:t>1-10 acres within the Project Area</w:t>
      </w:r>
      <w:r w:rsidR="007F6D33">
        <w:rPr>
          <w:rFonts w:ascii="Arial" w:hAnsi="Arial" w:cs="Arial"/>
          <w:sz w:val="22"/>
          <w:szCs w:val="22"/>
        </w:rPr>
        <w:t>”</w:t>
      </w:r>
      <w:permStart w:id="1887787780" w:edGrp="everyone"/>
      <w:permEnd w:id="1887787780"/>
      <w:r w:rsidRPr="00615E0D">
        <w:rPr>
          <w:rFonts w:ascii="Arial" w:hAnsi="Arial" w:cs="Arial"/>
          <w:sz w:val="22"/>
          <w:szCs w:val="22"/>
        </w:rPr>
        <w:t xml:space="preserve"> selection.  The Project Description and Project Deliverables contain no active restoration component or line item. Deduct 3 points.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6BCE479" w14:textId="5F6FA4FE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headerReference w:type="default" r:id="rId9"/>
          <w:footerReference w:type="default" r:id="rId10"/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3D211DF8" w:rsidR="005B215A" w:rsidRPr="005B215A" w:rsidRDefault="005B215A" w:rsidP="00615E0D">
      <w:pPr>
        <w:pStyle w:val="ListParagraph"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03956A1A" w:rsidR="00407912" w:rsidRPr="00407912" w:rsidRDefault="00202EFE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202EFE">
      <w:rPr>
        <w:rFonts w:ascii="Arial" w:hAnsi="Arial" w:cs="Arial"/>
        <w:sz w:val="22"/>
        <w:szCs w:val="22"/>
      </w:rPr>
      <w:t>Los Angeles Conservation Corps</w:t>
    </w:r>
    <w:r w:rsidR="00FA193D">
      <w:rPr>
        <w:rFonts w:ascii="Arial" w:hAnsi="Arial" w:cs="Arial"/>
        <w:sz w:val="22"/>
        <w:szCs w:val="22"/>
      </w:rPr>
      <w:t xml:space="preserve"> –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37B4C5F3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615E0D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/C043Wqz2P8MKa7enl5ktRRRwaDyBvWfNbM2JIaOgZgw98N6IOsDgfGia36hMLYDifphggy0iL3VrstmbiXRNg==" w:salt="XbVnO++MZFoxTNeQ2wwxt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02EFE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15E0D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7F6D3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193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Olmos, Maria@Parks</cp:lastModifiedBy>
  <cp:revision>5</cp:revision>
  <dcterms:created xsi:type="dcterms:W3CDTF">2021-06-28T21:21:00Z</dcterms:created>
  <dcterms:modified xsi:type="dcterms:W3CDTF">2021-08-04T18:51:00Z</dcterms:modified>
</cp:coreProperties>
</file>