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38A2A" w14:textId="77777777" w:rsidR="001649C0" w:rsidRPr="00414D4C" w:rsidRDefault="001649C0" w:rsidP="00164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F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Sierra NF - Patrol District</w:t>
                            </w:r>
                          </w:p>
                          <w:p w14:paraId="2860B7F7" w14:textId="298ECE78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66938A2A" w14:textId="77777777" w:rsidR="001649C0" w:rsidRPr="00414D4C" w:rsidRDefault="001649C0" w:rsidP="001649C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FB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Sierra NF - Patrol District</w:t>
                      </w:r>
                    </w:p>
                    <w:p w14:paraId="2860B7F7" w14:textId="298ECE78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8C0C50F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1317F5" w:rsidRPr="001317F5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1317F5">
        <w:rPr>
          <w:rStyle w:val="normaltextrun"/>
          <w:shd w:val="clear" w:color="auto" w:fill="FFFFFF"/>
        </w:rPr>
        <w:t> </w:t>
      </w:r>
      <w:r w:rsidR="001317F5">
        <w:rPr>
          <w:rStyle w:val="eop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0599A" w14:textId="77777777" w:rsidR="001649C0" w:rsidRPr="00B87F70" w:rsidRDefault="001649C0" w:rsidP="001649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3B5537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G22-02-35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88F89A5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5A0599A" w14:textId="77777777" w:rsidR="001649C0" w:rsidRPr="00B87F70" w:rsidRDefault="001649C0" w:rsidP="001649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3B5537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G22-02-35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88F89A5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A2F2CC6" w:rsidR="007F05E3" w:rsidRDefault="001317F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02F76">
        <w:rPr>
          <w:rFonts w:ascii="Arial" w:hAnsi="Arial" w:cs="Arial"/>
          <w:color w:val="000000" w:themeColor="text1"/>
          <w:sz w:val="22"/>
          <w:szCs w:val="22"/>
        </w:rPr>
        <w:t>c</w:t>
      </w:r>
      <w:r w:rsidR="0018541C">
        <w:rPr>
          <w:rFonts w:ascii="Arial" w:hAnsi="Arial" w:cs="Arial"/>
          <w:color w:val="000000" w:themeColor="text1"/>
          <w:sz w:val="22"/>
          <w:szCs w:val="22"/>
        </w:rPr>
        <w:t>hange.</w:t>
      </w:r>
      <w:r w:rsidR="0018541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5E54987" w:rsidR="007F05E3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002F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AE92268" w14:textId="77777777" w:rsidR="0018541C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Staff #2 "Law Enforcement Officer" – Applicant increased the Grant request for this line item without receiving a Division or public comment. Line item is reverted back to the original preliminary Application Grant request of $41,116. Deduct $17,312 Grant. Revised total for this line item is now Grant $41,116 and $0 match.</w:t>
      </w:r>
    </w:p>
    <w:p w14:paraId="0A43C87F" w14:textId="77777777" w:rsidR="0018541C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Staff #5 "Law Enforcement Officers – Match" – Applicant increased the match request for this line item without receiving a Division or public comment. Line item is reverted back to the original preliminary Application match request of $42,285. Deduct $15,715 match. Revised total for this line item is now Grant $0 and $42,285 match.</w:t>
      </w:r>
    </w:p>
    <w:p w14:paraId="7F7816BE" w14:textId="47A44F02" w:rsidR="0018541C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Contracts #1 "Sanitation/refuse dumping removal" – Activity is not eligible for a law enforcement Project. Remove line item. Deduct $5,000 Grant. Revised total for this line item is now Grant $0 and match $0.</w:t>
      </w:r>
    </w:p>
    <w:p w14:paraId="65042A78" w14:textId="77777777" w:rsidR="00381070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Materials/Supplies #1 "Night/Overnight gear" – Contingent: If funded, Applicant must move tents and sleeping bags to the indirect line item and adjust the Project Cost Estimate accordingly.</w:t>
      </w:r>
    </w:p>
    <w:p w14:paraId="478571D3" w14:textId="77777777" w:rsidR="00381070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Materials/Supplies #5 "Shovel for Avalanche/Snow OSV Patrol" – This item is an indirect cost. As the Project has exceeded the 15% maximum allowable indirect, the line item is removed. Deduct $800 Grant. Revised total for this line item is now Grant $0 and match $0.</w:t>
      </w:r>
    </w:p>
    <w:p w14:paraId="1052788D" w14:textId="77777777" w:rsidR="00381070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Materials/Supplies #12 "Law Enforcement Booth" – This item is an indirect cost. As the Project has exceeded the 15% maximum allowable indirect, the line item is removed. Deduct $4,800 Grant. Revised total for this line item is now Grant $0 and match $0.</w:t>
      </w:r>
    </w:p>
    <w:p w14:paraId="37DD19B7" w14:textId="60C745AD" w:rsidR="00381070" w:rsidRDefault="0018541C" w:rsidP="003D13C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Equipment Purchase #1 "ATV" – </w:t>
      </w:r>
      <w:r w:rsidR="008E4FE9" w:rsidRPr="003D13C1">
        <w:rPr>
          <w:rFonts w:ascii="Arial" w:hAnsi="Arial" w:cs="Arial"/>
          <w:color w:val="000000" w:themeColor="text1"/>
          <w:sz w:val="22"/>
          <w:szCs w:val="22"/>
        </w:rPr>
        <w:t>Applicant is noticed that Equipment purchased through the Grants program can only be reimbursed proportionally for the percentage used for OHV enforcement.</w:t>
      </w:r>
      <w:r w:rsidR="003D13C1" w:rsidRPr="003D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 In addition, Applicant increased the Grant request for this line item </w:t>
      </w:r>
      <w:r w:rsidRPr="0018541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without receiving a </w:t>
      </w:r>
      <w:proofErr w:type="gramStart"/>
      <w:r w:rsidRPr="0018541C">
        <w:rPr>
          <w:rFonts w:ascii="Arial" w:hAnsi="Arial" w:cs="Arial"/>
          <w:color w:val="000000" w:themeColor="text1"/>
          <w:sz w:val="22"/>
          <w:szCs w:val="22"/>
        </w:rPr>
        <w:t>Division</w:t>
      </w:r>
      <w:proofErr w:type="gramEnd"/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 or public comment. Line item is reverted back to the original preliminary Applicant Grant request of $13,000. Deduct $5,500 Grant. Revised total for this line item is now Grant $13,000 and $0 match.</w:t>
      </w:r>
    </w:p>
    <w:p w14:paraId="33401E0C" w14:textId="3EDCAAC6" w:rsidR="00381070" w:rsidRDefault="0018541C" w:rsidP="003D13C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Equipment Purchase #2 "UTV" – </w:t>
      </w:r>
      <w:r w:rsidR="003D13C1" w:rsidRPr="003D13C1">
        <w:rPr>
          <w:rFonts w:ascii="Arial" w:hAnsi="Arial" w:cs="Arial"/>
          <w:color w:val="000000" w:themeColor="text1"/>
          <w:sz w:val="22"/>
          <w:szCs w:val="22"/>
        </w:rPr>
        <w:t>Applicant is noticed that Equipment purchased through the Grants program can only be reimbursed proportionally for the percentage used for OHV enforcement.</w:t>
      </w:r>
      <w:r w:rsidR="003D13C1" w:rsidRPr="003D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In addition, Applicant increased the Grant request for this line item without receiving a </w:t>
      </w:r>
      <w:proofErr w:type="gramStart"/>
      <w:r w:rsidRPr="0018541C">
        <w:rPr>
          <w:rFonts w:ascii="Arial" w:hAnsi="Arial" w:cs="Arial"/>
          <w:color w:val="000000" w:themeColor="text1"/>
          <w:sz w:val="22"/>
          <w:szCs w:val="22"/>
        </w:rPr>
        <w:t>Division</w:t>
      </w:r>
      <w:proofErr w:type="gramEnd"/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 or public comment. Line item is reverted back to the original preliminary Applicant Grant request of $15,000. Deduct $5,000 Grant. Revised total for this line item is now Grant $15,000 and $0 match.</w:t>
      </w:r>
    </w:p>
    <w:p w14:paraId="0FAB27AC" w14:textId="77777777" w:rsidR="00381070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Others "Battery powered chainsaws" – This item is an indirect cost. As the Project has exceeded the 15% maximum allowable indirect, the line item is removed. Deduct $2,400 Grant. Revised total for this line item is now Grant $0 and match $0.</w:t>
      </w:r>
    </w:p>
    <w:p w14:paraId="5FDCF8A0" w14:textId="77777777" w:rsidR="00002F76" w:rsidRDefault="0018541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Indirect – Applicant has now exceeded the 15% maximum allowable. Deduct $544 indirect Grant and $0 indirect match. Revised total for this line item is now Grant $17,266 and match $0.</w:t>
      </w:r>
      <w:r w:rsidR="003810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0585EEF" w14:textId="77777777" w:rsidR="00002F76" w:rsidRDefault="00002F76" w:rsidP="00002F7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ABDD116" w14:textId="77777777" w:rsidR="00002F76" w:rsidRDefault="0018541C" w:rsidP="00002F7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03632F25" w14:textId="77777777" w:rsidR="00002F76" w:rsidRDefault="0018541C" w:rsidP="00002F7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Grant Request: $132,376</w:t>
      </w:r>
    </w:p>
    <w:p w14:paraId="1B40E2E8" w14:textId="77777777" w:rsidR="00002F76" w:rsidRDefault="0018541C" w:rsidP="00002F7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 xml:space="preserve">Match: $50,765Total </w:t>
      </w:r>
    </w:p>
    <w:p w14:paraId="07355B5B" w14:textId="0F145D03" w:rsidR="007F05E3" w:rsidRDefault="0018541C" w:rsidP="00002F7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8541C">
        <w:rPr>
          <w:rFonts w:ascii="Arial" w:hAnsi="Arial" w:cs="Arial"/>
          <w:color w:val="000000" w:themeColor="text1"/>
          <w:sz w:val="22"/>
          <w:szCs w:val="22"/>
        </w:rPr>
        <w:t>Project Cost: $183,141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F00E" w14:textId="77777777" w:rsidR="0043335E" w:rsidRDefault="0043335E" w:rsidP="0073175F">
      <w:r>
        <w:separator/>
      </w:r>
    </w:p>
  </w:endnote>
  <w:endnote w:type="continuationSeparator" w:id="0">
    <w:p w14:paraId="5D945BBD" w14:textId="77777777" w:rsidR="0043335E" w:rsidRDefault="0043335E" w:rsidP="0073175F">
      <w:r>
        <w:continuationSeparator/>
      </w:r>
    </w:p>
  </w:endnote>
  <w:endnote w:type="continuationNotice" w:id="1">
    <w:p w14:paraId="7E388D49" w14:textId="77777777" w:rsidR="0043335E" w:rsidRDefault="00433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E0D8217" w:rsidR="00407912" w:rsidRPr="00407912" w:rsidRDefault="001649C0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D3627">
      <w:rPr>
        <w:rFonts w:ascii="Arial" w:hAnsi="Arial" w:cs="Arial"/>
        <w:sz w:val="22"/>
        <w:szCs w:val="22"/>
      </w:rPr>
      <w:t>USFS - Sierra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0083" w14:textId="77777777" w:rsidR="0043335E" w:rsidRDefault="0043335E" w:rsidP="0073175F">
      <w:r>
        <w:separator/>
      </w:r>
    </w:p>
  </w:footnote>
  <w:footnote w:type="continuationSeparator" w:id="0">
    <w:p w14:paraId="65A22C56" w14:textId="77777777" w:rsidR="0043335E" w:rsidRDefault="0043335E" w:rsidP="0073175F">
      <w:r>
        <w:continuationSeparator/>
      </w:r>
    </w:p>
  </w:footnote>
  <w:footnote w:type="continuationNotice" w:id="1">
    <w:p w14:paraId="22E30E4D" w14:textId="77777777" w:rsidR="0043335E" w:rsidRDefault="00433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uJ1FRXERBaIg2t14tphVV+9XyBU+wGsgPf6pMVvHKkMq3KLvko+0vjz/Yrd7cH2s01Ehufnmo7PxxG5eHpDyw==" w:salt="ofaKLnzHk62CtmXhxt5v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2F76"/>
    <w:rsid w:val="00006470"/>
    <w:rsid w:val="000170E0"/>
    <w:rsid w:val="00042577"/>
    <w:rsid w:val="00074C8D"/>
    <w:rsid w:val="000B3D0B"/>
    <w:rsid w:val="000B3D6C"/>
    <w:rsid w:val="001317F5"/>
    <w:rsid w:val="001649C0"/>
    <w:rsid w:val="0018541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81070"/>
    <w:rsid w:val="003A06CD"/>
    <w:rsid w:val="003A3D78"/>
    <w:rsid w:val="003B5B7D"/>
    <w:rsid w:val="003D13C1"/>
    <w:rsid w:val="003E26FC"/>
    <w:rsid w:val="003F0741"/>
    <w:rsid w:val="00407912"/>
    <w:rsid w:val="00414D4C"/>
    <w:rsid w:val="00423018"/>
    <w:rsid w:val="0043335E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E4FE9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2416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C4934"/>
    <w:rsid w:val="00F04D40"/>
    <w:rsid w:val="00F30840"/>
    <w:rsid w:val="00F364DA"/>
    <w:rsid w:val="00F7131D"/>
    <w:rsid w:val="00FA6F2F"/>
    <w:rsid w:val="00FB4E68"/>
    <w:rsid w:val="00FB78E1"/>
    <w:rsid w:val="00FF2CA7"/>
    <w:rsid w:val="5AFF8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317F5"/>
  </w:style>
  <w:style w:type="character" w:customStyle="1" w:styleId="eop">
    <w:name w:val="eop"/>
    <w:basedOn w:val="DefaultParagraphFont"/>
    <w:rsid w:val="0013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9585A-2249-43AE-B917-C7FC00FDC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a7bea4-1558-4890-8039-e5ad0ed6992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678</Words>
  <Characters>3869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20</cp:revision>
  <dcterms:created xsi:type="dcterms:W3CDTF">2022-04-01T21:58:00Z</dcterms:created>
  <dcterms:modified xsi:type="dcterms:W3CDTF">2022-08-03T22:06:00Z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