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26AA7" w14:textId="77777777" w:rsidR="004C242B" w:rsidRPr="00414D4C" w:rsidRDefault="004C242B" w:rsidP="004C2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09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County of Del Norte, Community Development Department</w:t>
                            </w:r>
                          </w:p>
                          <w:p w14:paraId="2860B7F7" w14:textId="58B926CD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2126AA7" w14:textId="77777777" w:rsidR="004C242B" w:rsidRPr="00414D4C" w:rsidRDefault="004C242B" w:rsidP="004C242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09B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County of Del Norte, Community Development Department</w:t>
                      </w:r>
                    </w:p>
                    <w:p w14:paraId="2860B7F7" w14:textId="58B926CD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33F91C7D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891545" w:rsidRPr="00891545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1814BD5F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</w:t>
      </w:r>
      <w:bookmarkStart w:id="0" w:name="_Hlk110336980"/>
      <w:r w:rsidRPr="003B5B7D">
        <w:rPr>
          <w:rFonts w:ascii="Arial" w:hAnsi="Arial" w:cs="Arial"/>
          <w:sz w:val="22"/>
          <w:szCs w:val="22"/>
        </w:rPr>
        <w:t>–</w:t>
      </w:r>
      <w:bookmarkEnd w:id="0"/>
      <w:r w:rsidRPr="003B5B7D">
        <w:rPr>
          <w:rFonts w:ascii="Arial" w:hAnsi="Arial" w:cs="Arial"/>
          <w:sz w:val="22"/>
          <w:szCs w:val="22"/>
        </w:rPr>
        <w:t xml:space="preserve"> OHV Opportunity Ratio. Add </w:t>
      </w:r>
      <w:r w:rsidR="00891545">
        <w:rPr>
          <w:rFonts w:ascii="Arial" w:hAnsi="Arial" w:cs="Arial"/>
          <w:sz w:val="22"/>
          <w:szCs w:val="22"/>
        </w:rPr>
        <w:t>2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0E987526" w14:textId="2882C4D0" w:rsidR="00E33658" w:rsidRPr="00E33658" w:rsidRDefault="00E33658" w:rsidP="00E33658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E33658">
        <w:rPr>
          <w:rFonts w:ascii="Arial" w:hAnsi="Arial" w:cs="Arial"/>
          <w:sz w:val="22"/>
          <w:szCs w:val="22"/>
        </w:rPr>
        <w:t xml:space="preserve">#6 </w:t>
      </w:r>
      <w:r w:rsidR="0096411B" w:rsidRPr="0096411B">
        <w:rPr>
          <w:rFonts w:ascii="Arial" w:hAnsi="Arial" w:cs="Arial"/>
          <w:sz w:val="22"/>
          <w:szCs w:val="22"/>
        </w:rPr>
        <w:t xml:space="preserve">– </w:t>
      </w:r>
      <w:r w:rsidRPr="00E33658">
        <w:rPr>
          <w:rFonts w:ascii="Arial" w:hAnsi="Arial" w:cs="Arial"/>
          <w:sz w:val="22"/>
          <w:szCs w:val="22"/>
        </w:rPr>
        <w:t xml:space="preserve">In the previous year the Applicant has been responsive and communicated effectively with their assigned OHMVR Grant Administrator by phone, email or personal visit. </w:t>
      </w:r>
      <w:r>
        <w:rPr>
          <w:rFonts w:ascii="Arial" w:hAnsi="Arial" w:cs="Arial"/>
          <w:sz w:val="22"/>
          <w:szCs w:val="22"/>
        </w:rPr>
        <w:t>Add</w:t>
      </w:r>
      <w:r w:rsidRPr="00E33658">
        <w:rPr>
          <w:rFonts w:ascii="Arial" w:hAnsi="Arial" w:cs="Arial"/>
          <w:sz w:val="22"/>
          <w:szCs w:val="22"/>
        </w:rPr>
        <w:t xml:space="preserve"> 3 points.</w:t>
      </w:r>
    </w:p>
    <w:p w14:paraId="21D041B5" w14:textId="3F4348AD" w:rsidR="00E33658" w:rsidRPr="00E33658" w:rsidRDefault="00E33658" w:rsidP="00E33658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E33658">
        <w:rPr>
          <w:rFonts w:ascii="Arial" w:hAnsi="Arial" w:cs="Arial"/>
          <w:sz w:val="22"/>
          <w:szCs w:val="22"/>
        </w:rPr>
        <w:t>#12</w:t>
      </w:r>
      <w:r w:rsidR="0096411B" w:rsidRPr="0096411B">
        <w:rPr>
          <w:rFonts w:ascii="Arial" w:hAnsi="Arial" w:cs="Arial"/>
          <w:sz w:val="22"/>
          <w:szCs w:val="22"/>
        </w:rPr>
        <w:t xml:space="preserve"> – </w:t>
      </w:r>
      <w:r w:rsidRPr="00E33658">
        <w:rPr>
          <w:rFonts w:ascii="Arial" w:hAnsi="Arial" w:cs="Arial"/>
          <w:sz w:val="22"/>
          <w:szCs w:val="22"/>
        </w:rPr>
        <w:t xml:space="preserve">Applicant or Land Manager's website does not contain a </w:t>
      </w:r>
      <w:r w:rsidR="00BD5135">
        <w:rPr>
          <w:rFonts w:ascii="Arial" w:hAnsi="Arial" w:cs="Arial"/>
          <w:sz w:val="22"/>
          <w:szCs w:val="22"/>
        </w:rPr>
        <w:t>“</w:t>
      </w:r>
      <w:r w:rsidRPr="00E33658">
        <w:rPr>
          <w:rFonts w:ascii="Arial" w:hAnsi="Arial" w:cs="Arial"/>
          <w:sz w:val="22"/>
          <w:szCs w:val="22"/>
        </w:rPr>
        <w:t>link to Division website.</w:t>
      </w:r>
      <w:r w:rsidR="00BD5135">
        <w:rPr>
          <w:rFonts w:ascii="Arial" w:hAnsi="Arial" w:cs="Arial"/>
          <w:sz w:val="22"/>
          <w:szCs w:val="22"/>
        </w:rPr>
        <w:t>”</w:t>
      </w:r>
      <w:r w:rsidRPr="00E33658">
        <w:rPr>
          <w:rFonts w:ascii="Arial" w:hAnsi="Arial" w:cs="Arial"/>
          <w:sz w:val="22"/>
          <w:szCs w:val="22"/>
        </w:rPr>
        <w:t xml:space="preserve"> Deduct 1 point.</w:t>
      </w:r>
    </w:p>
    <w:p w14:paraId="6EB1A546" w14:textId="6DE94180" w:rsidR="00E33658" w:rsidRPr="00E33658" w:rsidRDefault="00E33658" w:rsidP="00E33658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E33658">
        <w:rPr>
          <w:rFonts w:ascii="Arial" w:hAnsi="Arial" w:cs="Arial"/>
          <w:sz w:val="22"/>
          <w:szCs w:val="22"/>
        </w:rPr>
        <w:t>#9b</w:t>
      </w:r>
      <w:r w:rsidR="0096411B" w:rsidRPr="0096411B">
        <w:rPr>
          <w:rFonts w:ascii="Arial" w:hAnsi="Arial" w:cs="Arial"/>
          <w:sz w:val="22"/>
          <w:szCs w:val="22"/>
        </w:rPr>
        <w:t xml:space="preserve"> – </w:t>
      </w:r>
      <w:r w:rsidRPr="00E33658">
        <w:rPr>
          <w:rFonts w:ascii="Arial" w:hAnsi="Arial" w:cs="Arial"/>
          <w:sz w:val="22"/>
          <w:szCs w:val="22"/>
        </w:rPr>
        <w:t>Applicant did not explain its methods to address soil issues. Deduct 5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12C47" w14:textId="77777777" w:rsidR="004C242B" w:rsidRPr="00414D4C" w:rsidRDefault="004C242B" w:rsidP="004C242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G22-03-93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78B51986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56A12C47" w14:textId="77777777" w:rsidR="004C242B" w:rsidRPr="00414D4C" w:rsidRDefault="004C242B" w:rsidP="004C242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G22-03-93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78B51986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54E80AD" w:rsidR="00687C41" w:rsidRPr="003B5B7D" w:rsidRDefault="002F6359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D5135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F7445F" w14:textId="421B5510" w:rsidR="00E33658" w:rsidRPr="00E33658" w:rsidRDefault="00E33658" w:rsidP="00E33658">
      <w:pPr>
        <w:pStyle w:val="ListParagraph"/>
        <w:numPr>
          <w:ilvl w:val="0"/>
          <w:numId w:val="11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33658">
        <w:rPr>
          <w:rFonts w:ascii="Arial" w:hAnsi="Arial" w:cs="Arial"/>
          <w:bCs/>
          <w:iCs/>
          <w:sz w:val="22"/>
          <w:szCs w:val="22"/>
        </w:rPr>
        <w:t>#3</w:t>
      </w:r>
      <w:r w:rsidR="0096411B" w:rsidRPr="0096411B">
        <w:rPr>
          <w:rFonts w:ascii="Arial" w:hAnsi="Arial" w:cs="Arial"/>
          <w:bCs/>
          <w:iCs/>
          <w:sz w:val="22"/>
          <w:szCs w:val="22"/>
        </w:rPr>
        <w:t xml:space="preserve"> – </w:t>
      </w:r>
      <w:r w:rsidRPr="00E33658">
        <w:rPr>
          <w:rFonts w:ascii="Arial" w:hAnsi="Arial" w:cs="Arial"/>
          <w:bCs/>
          <w:iCs/>
          <w:sz w:val="22"/>
          <w:szCs w:val="22"/>
        </w:rPr>
        <w:t xml:space="preserve">Applicant added </w:t>
      </w:r>
      <w:r w:rsidR="00BD5135">
        <w:rPr>
          <w:rFonts w:ascii="Arial" w:hAnsi="Arial" w:cs="Arial"/>
          <w:bCs/>
          <w:iCs/>
          <w:sz w:val="22"/>
          <w:szCs w:val="22"/>
        </w:rPr>
        <w:t>“</w:t>
      </w:r>
      <w:r w:rsidRPr="00E33658">
        <w:rPr>
          <w:rFonts w:ascii="Arial" w:hAnsi="Arial" w:cs="Arial"/>
          <w:bCs/>
          <w:iCs/>
          <w:sz w:val="22"/>
          <w:szCs w:val="22"/>
        </w:rPr>
        <w:t>Maintaining trails that provide for multi-use</w:t>
      </w:r>
      <w:r w:rsidR="00BD5135">
        <w:rPr>
          <w:rFonts w:ascii="Arial" w:hAnsi="Arial" w:cs="Arial"/>
          <w:bCs/>
          <w:iCs/>
          <w:sz w:val="22"/>
          <w:szCs w:val="22"/>
        </w:rPr>
        <w:t>”</w:t>
      </w:r>
      <w:r w:rsidRPr="00E33658">
        <w:rPr>
          <w:rFonts w:ascii="Arial" w:hAnsi="Arial" w:cs="Arial"/>
          <w:bCs/>
          <w:iCs/>
          <w:sz w:val="22"/>
          <w:szCs w:val="22"/>
        </w:rPr>
        <w:t xml:space="preserve"> without receiving a public and/or Division comment to add the selection.  Deduct 5 points.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04E9ABF9" w:rsidR="00A9054D" w:rsidRPr="00F30840" w:rsidRDefault="002F6359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BD513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5B8FA77D" w:rsidR="005246F7" w:rsidRPr="005246F7" w:rsidRDefault="002F6359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BD513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31720109" w:rsidR="005246F7" w:rsidRPr="005246F7" w:rsidRDefault="002F6359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BD513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43CC9938" w:rsidR="005246F7" w:rsidRPr="005246F7" w:rsidRDefault="002F6359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BD5135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8DD81AD" w14:textId="228620AF" w:rsidR="00F04D40" w:rsidRPr="002F6359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2F6359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780BCC81" w:rsidR="005B215A" w:rsidRPr="002F6359" w:rsidRDefault="005B215A" w:rsidP="002F6359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2F6359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0C4ABA42" w14:textId="4E09FA3C" w:rsidR="005B215A" w:rsidRPr="002F6359" w:rsidRDefault="005B215A" w:rsidP="002F6359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2F6359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5F6A" w14:textId="77777777" w:rsidR="00A73685" w:rsidRDefault="00A73685" w:rsidP="0073175F">
      <w:r>
        <w:separator/>
      </w:r>
    </w:p>
  </w:endnote>
  <w:endnote w:type="continuationSeparator" w:id="0">
    <w:p w14:paraId="21F2A792" w14:textId="77777777" w:rsidR="00A73685" w:rsidRDefault="00A73685" w:rsidP="0073175F">
      <w:r>
        <w:continuationSeparator/>
      </w:r>
    </w:p>
  </w:endnote>
  <w:endnote w:type="continuationNotice" w:id="1">
    <w:p w14:paraId="01A8D7E7" w14:textId="77777777" w:rsidR="00A73685" w:rsidRDefault="00A73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0AC5168" w:rsidR="00407912" w:rsidRPr="00407912" w:rsidRDefault="004C242B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County of Del Norte, Community Development Department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BA54" w14:textId="77777777" w:rsidR="00A73685" w:rsidRDefault="00A73685" w:rsidP="0073175F">
      <w:r>
        <w:separator/>
      </w:r>
    </w:p>
  </w:footnote>
  <w:footnote w:type="continuationSeparator" w:id="0">
    <w:p w14:paraId="3F9D9350" w14:textId="77777777" w:rsidR="00A73685" w:rsidRDefault="00A73685" w:rsidP="0073175F">
      <w:r>
        <w:continuationSeparator/>
      </w:r>
    </w:p>
  </w:footnote>
  <w:footnote w:type="continuationNotice" w:id="1">
    <w:p w14:paraId="1974CA5E" w14:textId="77777777" w:rsidR="00A73685" w:rsidRDefault="00A73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585C"/>
    <w:multiLevelType w:val="hybridMultilevel"/>
    <w:tmpl w:val="1E6A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10"/>
  </w:num>
  <w:num w:numId="4" w16cid:durableId="938028788">
    <w:abstractNumId w:val="7"/>
  </w:num>
  <w:num w:numId="5" w16cid:durableId="368385571">
    <w:abstractNumId w:val="9"/>
  </w:num>
  <w:num w:numId="6" w16cid:durableId="1774082525">
    <w:abstractNumId w:val="6"/>
  </w:num>
  <w:num w:numId="7" w16cid:durableId="1925604898">
    <w:abstractNumId w:val="8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  <w:num w:numId="11" w16cid:durableId="442002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MeLF81zKKOpjwtzFc1NzFVjMeLFrkrgLwQB+5uOB31mEwkVooZh9pacUIDvnQI00THvoNG08RY1lucTLuO7dg==" w:salt="zxuIplqUj+yWX3RaHdEY9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862E1"/>
    <w:rsid w:val="002E180A"/>
    <w:rsid w:val="002E2E6C"/>
    <w:rsid w:val="002F6359"/>
    <w:rsid w:val="00326B0A"/>
    <w:rsid w:val="0036720B"/>
    <w:rsid w:val="003676DA"/>
    <w:rsid w:val="00375A92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C242B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E23F4"/>
    <w:rsid w:val="006F5824"/>
    <w:rsid w:val="00707DAC"/>
    <w:rsid w:val="00720A7E"/>
    <w:rsid w:val="0073175F"/>
    <w:rsid w:val="00742E02"/>
    <w:rsid w:val="00786837"/>
    <w:rsid w:val="007A34A5"/>
    <w:rsid w:val="007B3185"/>
    <w:rsid w:val="007F05E3"/>
    <w:rsid w:val="008308D8"/>
    <w:rsid w:val="00842AF1"/>
    <w:rsid w:val="008616EC"/>
    <w:rsid w:val="00877C0F"/>
    <w:rsid w:val="00891545"/>
    <w:rsid w:val="008D3242"/>
    <w:rsid w:val="009460E1"/>
    <w:rsid w:val="0096411B"/>
    <w:rsid w:val="009B0EDD"/>
    <w:rsid w:val="009B5360"/>
    <w:rsid w:val="009C76D5"/>
    <w:rsid w:val="009E0A6D"/>
    <w:rsid w:val="009E630B"/>
    <w:rsid w:val="00A72250"/>
    <w:rsid w:val="00A73685"/>
    <w:rsid w:val="00A86CD2"/>
    <w:rsid w:val="00A9054D"/>
    <w:rsid w:val="00AC1A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BD5135"/>
    <w:rsid w:val="00C1421F"/>
    <w:rsid w:val="00C700C3"/>
    <w:rsid w:val="00CD71AA"/>
    <w:rsid w:val="00D059AA"/>
    <w:rsid w:val="00D61CB2"/>
    <w:rsid w:val="00D66664"/>
    <w:rsid w:val="00D858A8"/>
    <w:rsid w:val="00DE67A9"/>
    <w:rsid w:val="00E33658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D043F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6696-48EC-4E48-99A7-48C3EC657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1171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1374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9</cp:revision>
  <dcterms:created xsi:type="dcterms:W3CDTF">2022-08-02T15:10:00Z</dcterms:created>
  <dcterms:modified xsi:type="dcterms:W3CDTF">2022-08-03T21:50:00Z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