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133F2FC" w:rsidR="003676DA" w:rsidRPr="00414D4C" w:rsidRDefault="00E70B4C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0B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Farmworker Institute of Education and Leadership Development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133F2FC" w:rsidR="003676DA" w:rsidRPr="00414D4C" w:rsidRDefault="00E70B4C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0B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Farmworker Institute of Education and Leadership Development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0E92A73A" w:rsidR="00F04D40" w:rsidRDefault="00E70B4C" w:rsidP="00E70B4C">
      <w:pPr>
        <w:pStyle w:val="Default"/>
        <w:tabs>
          <w:tab w:val="left" w:pos="53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4C8C8F7B" w14:textId="363EACC8" w:rsidR="00013C56" w:rsidRPr="007A34A5" w:rsidRDefault="00013C56" w:rsidP="00013C56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E22078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6D26164A" w14:textId="1BF39BD7" w:rsidR="00D412B1" w:rsidRPr="00B333D5" w:rsidRDefault="00D412B1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#2 – Applicant information does not match the </w:t>
      </w:r>
      <w:r w:rsidR="00941DCD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941DCD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 Deduct 2 points.</w:t>
      </w:r>
    </w:p>
    <w:p w14:paraId="23597CE3" w14:textId="607BA06E" w:rsidR="0060258F" w:rsidRPr="00B333D5" w:rsidRDefault="0060258F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#5 </w:t>
      </w:r>
      <w:r w:rsidR="006015F1" w:rsidRPr="00B333D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Applicant at one point in the last two calendar years prior to the current Grant cycle, has been out of Good Standing with the Division. Deduct 10 points. </w:t>
      </w:r>
    </w:p>
    <w:p w14:paraId="74A92027" w14:textId="7A4BB9B4" w:rsidR="005A085E" w:rsidRPr="00B333D5" w:rsidRDefault="005A085E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>#6 – Applicant is responsive. Add 3 points.</w:t>
      </w:r>
    </w:p>
    <w:p w14:paraId="4DBFEC3D" w14:textId="7C05CB6B" w:rsidR="00DF2411" w:rsidRPr="00B333D5" w:rsidRDefault="00DF2411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>#7b –</w:t>
      </w:r>
      <w:r w:rsidR="008F3C1C" w:rsidRPr="00B333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Information does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Deduct 5 points.</w:t>
      </w:r>
    </w:p>
    <w:p w14:paraId="4C01EF5F" w14:textId="72D80AE7" w:rsidR="001167C8" w:rsidRPr="00B333D5" w:rsidRDefault="001167C8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#7c – Applicant information did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Deduct 5 points.</w:t>
      </w:r>
    </w:p>
    <w:p w14:paraId="3BFB6418" w14:textId="2A131B0C" w:rsidR="00624944" w:rsidRPr="00B333D5" w:rsidRDefault="00624944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#8b – Applicant information did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Deduct 5 points.</w:t>
      </w:r>
    </w:p>
    <w:p w14:paraId="2375DD9E" w14:textId="4403E18F" w:rsidR="008E27A0" w:rsidRPr="00B333D5" w:rsidRDefault="008E27A0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#9a – Applicant information does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Deduct 5 Points.</w:t>
      </w:r>
    </w:p>
    <w:p w14:paraId="667D2D69" w14:textId="5FC3396D" w:rsidR="00624944" w:rsidRPr="00B333D5" w:rsidRDefault="00F9508F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#9b – Applicant information does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anager, BLM Palm Springs. Deduct 5 Points.</w:t>
      </w:r>
    </w:p>
    <w:p w14:paraId="15A81A66" w14:textId="2CF67EBF" w:rsidR="002D128F" w:rsidRPr="00B333D5" w:rsidRDefault="002D128F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#11a – Applicant's information did not match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anager's, BLM Palm Springs. Deduct 10 points.</w:t>
      </w:r>
    </w:p>
    <w:p w14:paraId="5C8886BC" w14:textId="4A4D6A67" w:rsidR="0066709C" w:rsidRPr="00B333D5" w:rsidRDefault="0066709C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#11b </w:t>
      </w:r>
      <w:r w:rsidR="00BD33EA" w:rsidRPr="00B333D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333D5">
        <w:rPr>
          <w:rFonts w:ascii="Arial" w:hAnsi="Arial" w:cs="Arial"/>
          <w:color w:val="000000"/>
          <w:sz w:val="22"/>
          <w:szCs w:val="22"/>
        </w:rPr>
        <w:t>Applicant did not identify the specific Applicant onsite educational events to support selection. Deduct 1 point.</w:t>
      </w:r>
    </w:p>
    <w:p w14:paraId="671BE400" w14:textId="19EC58E6" w:rsidR="00BD33EA" w:rsidRPr="00B333D5" w:rsidRDefault="00BD33EA" w:rsidP="00001A70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333D5">
        <w:rPr>
          <w:rFonts w:ascii="Arial" w:hAnsi="Arial" w:cs="Arial"/>
          <w:color w:val="000000"/>
          <w:sz w:val="22"/>
          <w:szCs w:val="22"/>
        </w:rPr>
        <w:t xml:space="preserve">#12 – The response is not valid as BLM Ridgecrest is not the </w:t>
      </w:r>
      <w:r w:rsidR="00661D13">
        <w:rPr>
          <w:rFonts w:ascii="Arial" w:hAnsi="Arial" w:cs="Arial"/>
          <w:color w:val="000000"/>
          <w:sz w:val="22"/>
          <w:szCs w:val="22"/>
        </w:rPr>
        <w:t>L</w:t>
      </w:r>
      <w:r w:rsidRPr="00B333D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661D13">
        <w:rPr>
          <w:rFonts w:ascii="Arial" w:hAnsi="Arial" w:cs="Arial"/>
          <w:color w:val="000000"/>
          <w:sz w:val="22"/>
          <w:szCs w:val="22"/>
        </w:rPr>
        <w:t>M</w:t>
      </w:r>
      <w:r w:rsidRPr="00B333D5">
        <w:rPr>
          <w:rFonts w:ascii="Arial" w:hAnsi="Arial" w:cs="Arial"/>
          <w:color w:val="000000"/>
          <w:sz w:val="22"/>
          <w:szCs w:val="22"/>
        </w:rPr>
        <w:t>anager Deduct 5 points.</w:t>
      </w:r>
    </w:p>
    <w:p w14:paraId="2503D7AF" w14:textId="77777777" w:rsidR="00E70B4C" w:rsidRPr="00F9508F" w:rsidRDefault="00E70B4C" w:rsidP="00F9508F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D00FF92" w14:textId="77777777" w:rsidR="00E70B4C" w:rsidRDefault="00E70B4C" w:rsidP="00E70B4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379CDA9" wp14:editId="62D39838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EA872" w14:textId="5511046E" w:rsidR="00E70B4C" w:rsidRPr="00B87F70" w:rsidRDefault="00E70B4C" w:rsidP="00E70B4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Pr="00E70B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G21-04-60-R0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CDA9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Hk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j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4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442EA872" w14:textId="5511046E" w:rsidR="00E70B4C" w:rsidRPr="00B87F70" w:rsidRDefault="00E70B4C" w:rsidP="00E70B4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Pr="00E70B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G21-04-60-R0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595BEE" w14:textId="77777777" w:rsidR="00E70B4C" w:rsidRDefault="00E70B4C" w:rsidP="00E70B4C">
      <w:pPr>
        <w:rPr>
          <w:rFonts w:ascii="Arial" w:hAnsi="Arial" w:cs="Arial"/>
          <w:b/>
          <w:i/>
          <w:szCs w:val="22"/>
        </w:rPr>
      </w:pPr>
    </w:p>
    <w:p w14:paraId="112895C7" w14:textId="77777777" w:rsidR="00E70B4C" w:rsidRPr="009460E1" w:rsidRDefault="00E70B4C" w:rsidP="00E70B4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5D069E60" w14:textId="77777777" w:rsidR="00E70B4C" w:rsidRDefault="00E70B4C" w:rsidP="00E70B4C">
      <w:pPr>
        <w:rPr>
          <w:rFonts w:ascii="Arial" w:hAnsi="Arial" w:cs="Arial"/>
        </w:rPr>
      </w:pPr>
    </w:p>
    <w:p w14:paraId="61F6B3B9" w14:textId="7A5B3B79" w:rsidR="00E70B4C" w:rsidRDefault="00A723DF" w:rsidP="00E70B4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0599ACB" w14:textId="77777777" w:rsidR="00E70B4C" w:rsidRDefault="00E70B4C" w:rsidP="00E70B4C"/>
    <w:p w14:paraId="18944EBE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0C9D7F35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125BFDE" w14:textId="79052F5F" w:rsidR="00E70B4C" w:rsidRPr="00001A70" w:rsidRDefault="00A723DF" w:rsidP="00E70B4C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 change.</w:t>
      </w:r>
    </w:p>
    <w:p w14:paraId="703E502F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196FF2E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38C854F6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155B2D9" w14:textId="1EE5DC58" w:rsidR="00ED46B9" w:rsidRPr="00736340" w:rsidRDefault="008C19CE" w:rsidP="00ED46B9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736340">
        <w:rPr>
          <w:rFonts w:ascii="Arial" w:hAnsi="Arial" w:cs="Arial"/>
          <w:color w:val="000000"/>
          <w:sz w:val="22"/>
          <w:szCs w:val="22"/>
        </w:rPr>
        <w:t xml:space="preserve">CEQA/NEPA activities (Phase 1) – If funded, Applicant must verify that the NEPA analysis is for this Project (Big Morongo, Little Morongo, &amp; Blind Canyon) and not for the Upper Middle Knob areas identified in the other FIELD/CCEC </w:t>
      </w:r>
      <w:r w:rsidR="00736340" w:rsidRPr="00736340">
        <w:rPr>
          <w:rFonts w:ascii="Arial" w:hAnsi="Arial" w:cs="Arial"/>
          <w:color w:val="000000"/>
          <w:sz w:val="22"/>
          <w:szCs w:val="22"/>
        </w:rPr>
        <w:t>G</w:t>
      </w:r>
      <w:r w:rsidRPr="00736340">
        <w:rPr>
          <w:rFonts w:ascii="Arial" w:hAnsi="Arial" w:cs="Arial"/>
          <w:color w:val="000000"/>
          <w:sz w:val="22"/>
          <w:szCs w:val="22"/>
        </w:rPr>
        <w:t xml:space="preserve">rant </w:t>
      </w:r>
      <w:r w:rsidR="00736340" w:rsidRPr="00736340">
        <w:rPr>
          <w:rFonts w:ascii="Arial" w:hAnsi="Arial" w:cs="Arial"/>
          <w:color w:val="000000"/>
          <w:sz w:val="22"/>
          <w:szCs w:val="22"/>
        </w:rPr>
        <w:t>A</w:t>
      </w:r>
      <w:r w:rsidRPr="00736340">
        <w:rPr>
          <w:rFonts w:ascii="Arial" w:hAnsi="Arial" w:cs="Arial"/>
          <w:color w:val="000000"/>
          <w:sz w:val="22"/>
          <w:szCs w:val="22"/>
        </w:rPr>
        <w:t>pplication (G21-04-60-R01</w:t>
      </w:r>
      <w:r w:rsidR="00ED46B9" w:rsidRPr="00736340">
        <w:rPr>
          <w:rFonts w:ascii="Arial" w:hAnsi="Arial" w:cs="Arial"/>
          <w:color w:val="000000"/>
          <w:sz w:val="22"/>
          <w:szCs w:val="22"/>
        </w:rPr>
        <w:t>) Project</w:t>
      </w:r>
      <w:r w:rsidR="00736340" w:rsidRPr="00736340">
        <w:rPr>
          <w:rFonts w:ascii="Arial" w:hAnsi="Arial" w:cs="Arial"/>
          <w:color w:val="000000"/>
          <w:sz w:val="22"/>
          <w:szCs w:val="22"/>
        </w:rPr>
        <w:t>.</w:t>
      </w:r>
    </w:p>
    <w:p w14:paraId="13399B44" w14:textId="665F0B99" w:rsidR="008C19CE" w:rsidRPr="00736340" w:rsidRDefault="008C19CE" w:rsidP="0073634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736340">
        <w:rPr>
          <w:rFonts w:ascii="Arial" w:hAnsi="Arial" w:cs="Arial"/>
          <w:color w:val="000000"/>
          <w:sz w:val="22"/>
          <w:szCs w:val="22"/>
        </w:rPr>
        <w:t xml:space="preserve">Deliverables #7 </w:t>
      </w:r>
      <w:r w:rsidR="00ED46B9" w:rsidRPr="00736340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36340">
        <w:rPr>
          <w:rFonts w:ascii="Arial" w:hAnsi="Arial" w:cs="Arial"/>
          <w:color w:val="000000"/>
          <w:sz w:val="22"/>
          <w:szCs w:val="22"/>
        </w:rPr>
        <w:t xml:space="preserve">Contingent line item - If awarded, Applicant must correct the </w:t>
      </w:r>
      <w:r w:rsidR="00736340" w:rsidRPr="00736340">
        <w:rPr>
          <w:rFonts w:ascii="Arial" w:hAnsi="Arial" w:cs="Arial"/>
          <w:color w:val="000000"/>
          <w:sz w:val="22"/>
          <w:szCs w:val="22"/>
        </w:rPr>
        <w:t>landowner</w:t>
      </w:r>
      <w:r w:rsidRPr="00736340">
        <w:rPr>
          <w:rFonts w:ascii="Arial" w:hAnsi="Arial" w:cs="Arial"/>
          <w:color w:val="000000"/>
          <w:sz w:val="22"/>
          <w:szCs w:val="22"/>
        </w:rPr>
        <w:t xml:space="preserve"> from BLM Ridgecrest to BLM Palm Springs as Big Morongo resides in BLM Palm Springs.</w:t>
      </w:r>
    </w:p>
    <w:p w14:paraId="062BBFF4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6FA95D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71C137B0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332FEE8" w14:textId="5208475A" w:rsidR="00466DD1" w:rsidRPr="00466DD1" w:rsidRDefault="00466DD1" w:rsidP="00466DD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466DD1">
        <w:rPr>
          <w:rFonts w:ascii="Arial" w:hAnsi="Arial" w:cs="Arial"/>
          <w:color w:val="000000"/>
          <w:sz w:val="22"/>
          <w:szCs w:val="22"/>
        </w:rPr>
        <w:t xml:space="preserve">If funded, Applicant must clarify which BLM field office it is partnering with. The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466DD1">
        <w:rPr>
          <w:rFonts w:ascii="Arial" w:hAnsi="Arial" w:cs="Arial"/>
          <w:color w:val="000000"/>
          <w:sz w:val="22"/>
          <w:szCs w:val="22"/>
        </w:rPr>
        <w:t>roject narrative, description, and background rotate partnership and responsibilities between the BLM Ridgecrest and BLM Palm Springs field offices.</w:t>
      </w:r>
    </w:p>
    <w:p w14:paraId="4E965558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54ED21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D19F4DC" w14:textId="77777777" w:rsidR="00E70B4C" w:rsidRPr="009460E1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2892B2" w14:textId="77777777" w:rsidR="0076076C" w:rsidRPr="0076076C" w:rsidRDefault="002826F6" w:rsidP="0076076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76076C">
        <w:rPr>
          <w:rFonts w:ascii="Arial" w:hAnsi="Arial" w:cs="Arial"/>
          <w:color w:val="000000"/>
          <w:sz w:val="22"/>
          <w:szCs w:val="22"/>
        </w:rPr>
        <w:t xml:space="preserve">Staff # 1 “Crew Supervisor" – Applicant states that this position will be conducting vehicle and </w:t>
      </w:r>
      <w:r w:rsidR="0076076C" w:rsidRPr="0076076C">
        <w:rPr>
          <w:rFonts w:ascii="Arial" w:hAnsi="Arial" w:cs="Arial"/>
          <w:color w:val="000000"/>
          <w:sz w:val="22"/>
          <w:szCs w:val="22"/>
        </w:rPr>
        <w:t>E</w:t>
      </w:r>
      <w:r w:rsidRPr="0076076C">
        <w:rPr>
          <w:rFonts w:ascii="Arial" w:hAnsi="Arial" w:cs="Arial"/>
          <w:color w:val="000000"/>
          <w:sz w:val="22"/>
          <w:szCs w:val="22"/>
        </w:rPr>
        <w:t xml:space="preserve">quipment maintenance, collaboration and communication with BLM, management. These functions are not active Restoration activities and are </w:t>
      </w:r>
      <w:r w:rsidR="0076076C" w:rsidRPr="0076076C">
        <w:rPr>
          <w:rFonts w:ascii="Arial" w:hAnsi="Arial" w:cs="Arial"/>
          <w:color w:val="000000"/>
          <w:sz w:val="22"/>
          <w:szCs w:val="22"/>
        </w:rPr>
        <w:t>I</w:t>
      </w:r>
      <w:r w:rsidRPr="0076076C">
        <w:rPr>
          <w:rFonts w:ascii="Arial" w:hAnsi="Arial" w:cs="Arial"/>
          <w:color w:val="000000"/>
          <w:sz w:val="22"/>
          <w:szCs w:val="22"/>
        </w:rPr>
        <w:t xml:space="preserve">ndirect in nature.  However, there is not enough room in the </w:t>
      </w:r>
      <w:r w:rsidR="0076076C" w:rsidRPr="0076076C">
        <w:rPr>
          <w:rFonts w:ascii="Arial" w:hAnsi="Arial" w:cs="Arial"/>
          <w:color w:val="000000"/>
          <w:sz w:val="22"/>
          <w:szCs w:val="22"/>
        </w:rPr>
        <w:t>I</w:t>
      </w:r>
      <w:r w:rsidRPr="0076076C">
        <w:rPr>
          <w:rFonts w:ascii="Arial" w:hAnsi="Arial" w:cs="Arial"/>
          <w:color w:val="000000"/>
          <w:sz w:val="22"/>
          <w:szCs w:val="22"/>
        </w:rPr>
        <w:t xml:space="preserve">ndirect category to support the costs.  Applicant lists six job functions, of which two are </w:t>
      </w:r>
      <w:r w:rsidR="0076076C" w:rsidRPr="0076076C">
        <w:rPr>
          <w:rFonts w:ascii="Arial" w:hAnsi="Arial" w:cs="Arial"/>
          <w:color w:val="000000"/>
          <w:sz w:val="22"/>
          <w:szCs w:val="22"/>
        </w:rPr>
        <w:t>I</w:t>
      </w:r>
      <w:r w:rsidRPr="0076076C">
        <w:rPr>
          <w:rFonts w:ascii="Arial" w:hAnsi="Arial" w:cs="Arial"/>
          <w:color w:val="000000"/>
          <w:sz w:val="22"/>
          <w:szCs w:val="22"/>
        </w:rPr>
        <w:t>ndirect.  Line item is reduced by 33%.  Deduct $26,208 Grant.</w:t>
      </w:r>
    </w:p>
    <w:p w14:paraId="333EBEB6" w14:textId="77777777" w:rsidR="0003335A" w:rsidRPr="0003335A" w:rsidRDefault="002826F6" w:rsidP="0003335A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3335A">
        <w:rPr>
          <w:rFonts w:ascii="Arial" w:hAnsi="Arial" w:cs="Arial"/>
          <w:color w:val="000000"/>
          <w:sz w:val="22"/>
          <w:szCs w:val="22"/>
        </w:rPr>
        <w:t xml:space="preserve">Staff # 2 " Crew Lead" </w:t>
      </w:r>
      <w:r w:rsidR="0076076C" w:rsidRPr="0003335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Applicant states conducting data collection, and collaboration with the BLM Staff. These functions are not active Restoration activities and are </w:t>
      </w:r>
      <w:r w:rsidR="0076076C" w:rsidRPr="0003335A">
        <w:rPr>
          <w:rFonts w:ascii="Arial" w:hAnsi="Arial" w:cs="Arial"/>
          <w:color w:val="000000"/>
          <w:sz w:val="22"/>
          <w:szCs w:val="22"/>
        </w:rPr>
        <w:t>I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ndirect in nature.  However, there is not enough room in the </w:t>
      </w:r>
      <w:r w:rsidR="0076076C" w:rsidRPr="0003335A">
        <w:rPr>
          <w:rFonts w:ascii="Arial" w:hAnsi="Arial" w:cs="Arial"/>
          <w:color w:val="000000"/>
          <w:sz w:val="22"/>
          <w:szCs w:val="22"/>
        </w:rPr>
        <w:t>I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ndirect category to support the costs.  Applicant lists five job functions, of which two are </w:t>
      </w:r>
      <w:r w:rsidR="0003335A" w:rsidRPr="0003335A">
        <w:rPr>
          <w:rFonts w:ascii="Arial" w:hAnsi="Arial" w:cs="Arial"/>
          <w:color w:val="000000"/>
          <w:sz w:val="22"/>
          <w:szCs w:val="22"/>
        </w:rPr>
        <w:t>I</w:t>
      </w:r>
      <w:r w:rsidRPr="0003335A">
        <w:rPr>
          <w:rFonts w:ascii="Arial" w:hAnsi="Arial" w:cs="Arial"/>
          <w:color w:val="000000"/>
          <w:sz w:val="22"/>
          <w:szCs w:val="22"/>
        </w:rPr>
        <w:t>ndirect.  Line item is reduced by 40%. Deduct $25,459 Grant.</w:t>
      </w:r>
    </w:p>
    <w:p w14:paraId="0E0B76D4" w14:textId="77777777" w:rsidR="0003335A" w:rsidRPr="0003335A" w:rsidRDefault="002826F6" w:rsidP="0003335A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3335A">
        <w:rPr>
          <w:rFonts w:ascii="Arial" w:hAnsi="Arial" w:cs="Arial"/>
          <w:color w:val="000000"/>
          <w:sz w:val="22"/>
          <w:szCs w:val="22"/>
        </w:rPr>
        <w:t xml:space="preserve">Staff # 4 and 5 "Corpsmember (Weighted)" </w:t>
      </w:r>
      <w:r w:rsidR="0003335A" w:rsidRPr="0003335A">
        <w:rPr>
          <w:rFonts w:ascii="Arial" w:hAnsi="Arial" w:cs="Arial"/>
          <w:color w:val="000000"/>
          <w:sz w:val="22"/>
          <w:szCs w:val="22"/>
        </w:rPr>
        <w:t>–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 These positions are duplicative to Staff # 3.  Line items are deleted.  Deduct $90,909.20 Grant and $28,898.80 match. </w:t>
      </w:r>
    </w:p>
    <w:p w14:paraId="4E2995AA" w14:textId="77777777" w:rsidR="0003335A" w:rsidRPr="0003335A" w:rsidRDefault="002826F6" w:rsidP="0003335A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3335A">
        <w:rPr>
          <w:rFonts w:ascii="Arial" w:hAnsi="Arial" w:cs="Arial"/>
          <w:color w:val="000000"/>
          <w:sz w:val="22"/>
          <w:szCs w:val="22"/>
        </w:rPr>
        <w:t xml:space="preserve">Materials/Supplies # 3 "Protective Gear" </w:t>
      </w:r>
      <w:r w:rsidR="0003335A" w:rsidRPr="0003335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Applicant increased the Grant request for the Materials/Supplies cost category without receiving a Division or public comment. Category is returned to Preliminary total request.  Deduct $6,032 Grant. </w:t>
      </w:r>
    </w:p>
    <w:p w14:paraId="35275720" w14:textId="77777777" w:rsidR="0003335A" w:rsidRPr="0003335A" w:rsidRDefault="002826F6" w:rsidP="0003335A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03335A">
        <w:rPr>
          <w:rFonts w:ascii="Arial" w:hAnsi="Arial" w:cs="Arial"/>
          <w:color w:val="000000"/>
          <w:sz w:val="22"/>
          <w:szCs w:val="22"/>
        </w:rPr>
        <w:t>Equipment Use Expenses # 1 "Fuel and Oil for Equipment and Vehicles"</w:t>
      </w:r>
      <w:r w:rsidR="0003335A" w:rsidRPr="0003335A"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03335A">
        <w:rPr>
          <w:rFonts w:ascii="Arial" w:hAnsi="Arial" w:cs="Arial"/>
          <w:color w:val="000000"/>
          <w:sz w:val="22"/>
          <w:szCs w:val="22"/>
        </w:rPr>
        <w:t xml:space="preserve"> Per the G21 Grant Program Regulations, Non-Profit Applicants are eligible to request fuel costs on a mileage basis.  As the estimated number of project miles are not identified, reasonable funding for this line cannot be determined therefore this line item is deleted. Deduct $11,200 Grant.  </w:t>
      </w:r>
    </w:p>
    <w:p w14:paraId="6DC7410D" w14:textId="77777777" w:rsidR="00B517CC" w:rsidRDefault="002826F6" w:rsidP="00B517C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>Equipment Use Expenses # 2 "Vehicle Maintenance"</w:t>
      </w:r>
      <w:r w:rsidR="0003335A" w:rsidRPr="00B517CC"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 Per the G21 Grant Program Regulations, Non-Profit Applicants are </w:t>
      </w:r>
      <w:r w:rsidR="00B517CC" w:rsidRPr="00B517CC">
        <w:rPr>
          <w:rFonts w:ascii="Arial" w:hAnsi="Arial" w:cs="Arial"/>
          <w:color w:val="000000"/>
          <w:sz w:val="22"/>
          <w:szCs w:val="22"/>
        </w:rPr>
        <w:t>eligible to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 request vehicle maintenance for vehicles acquired within the Grants Program. As the notes do not identify if the </w:t>
      </w:r>
      <w:r w:rsidR="00B517CC" w:rsidRPr="00B517CC">
        <w:rPr>
          <w:rFonts w:ascii="Arial" w:hAnsi="Arial" w:cs="Arial"/>
          <w:color w:val="000000"/>
          <w:sz w:val="22"/>
          <w:szCs w:val="22"/>
        </w:rPr>
        <w:t>E</w:t>
      </w:r>
      <w:r w:rsidRPr="00B517CC">
        <w:rPr>
          <w:rFonts w:ascii="Arial" w:hAnsi="Arial" w:cs="Arial"/>
          <w:color w:val="000000"/>
          <w:sz w:val="22"/>
          <w:szCs w:val="22"/>
        </w:rPr>
        <w:t>quipment was purchase</w:t>
      </w:r>
      <w:r w:rsidR="00B517CC" w:rsidRPr="00B517CC">
        <w:rPr>
          <w:rFonts w:ascii="Arial" w:hAnsi="Arial" w:cs="Arial"/>
          <w:color w:val="000000"/>
          <w:sz w:val="22"/>
          <w:szCs w:val="22"/>
        </w:rPr>
        <w:t>d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 within the Grants Program, this line item is deleted. Deduct $6,800 Grant.  </w:t>
      </w:r>
    </w:p>
    <w:p w14:paraId="36576FEA" w14:textId="77777777" w:rsidR="00B517CC" w:rsidRDefault="002826F6" w:rsidP="00B517C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>Equipment Purchases # 1 "Auger and Accessories"</w:t>
      </w:r>
      <w:r w:rsidR="00B517CC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Applicants are prohibited from adding </w:t>
      </w:r>
      <w:r w:rsidR="00B517CC">
        <w:rPr>
          <w:rFonts w:ascii="Arial" w:hAnsi="Arial" w:cs="Arial"/>
          <w:color w:val="000000"/>
          <w:sz w:val="22"/>
          <w:szCs w:val="22"/>
        </w:rPr>
        <w:t>E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quipment purchases to their Project after the Preliminary Application.  All specific pieces of </w:t>
      </w:r>
      <w:r w:rsidR="00B517CC">
        <w:rPr>
          <w:rFonts w:ascii="Arial" w:hAnsi="Arial" w:cs="Arial"/>
          <w:color w:val="000000"/>
          <w:sz w:val="22"/>
          <w:szCs w:val="22"/>
        </w:rPr>
        <w:t>E</w:t>
      </w:r>
      <w:r w:rsidRPr="00B517CC">
        <w:rPr>
          <w:rFonts w:ascii="Arial" w:hAnsi="Arial" w:cs="Arial"/>
          <w:color w:val="000000"/>
          <w:sz w:val="22"/>
          <w:szCs w:val="22"/>
        </w:rPr>
        <w:t xml:space="preserve">quipment must be vetted through the public review process. Therefore, this line item is deleted. Deduct $7,800 Grant.  </w:t>
      </w:r>
    </w:p>
    <w:p w14:paraId="4936042F" w14:textId="77777777" w:rsidR="00B517CC" w:rsidRDefault="002826F6" w:rsidP="00B517C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 xml:space="preserve">Indirect Costs </w:t>
      </w:r>
      <w:r w:rsidR="00B517CC">
        <w:rPr>
          <w:rFonts w:ascii="Arial" w:hAnsi="Arial" w:cs="Arial"/>
          <w:color w:val="000000"/>
          <w:sz w:val="22"/>
          <w:szCs w:val="22"/>
        </w:rPr>
        <w:t>– W</w:t>
      </w:r>
      <w:r w:rsidRPr="00B517CC">
        <w:rPr>
          <w:rFonts w:ascii="Arial" w:hAnsi="Arial" w:cs="Arial"/>
          <w:color w:val="000000"/>
          <w:sz w:val="22"/>
          <w:szCs w:val="22"/>
        </w:rPr>
        <w:t>ith the reductions in Direct Cost line items, Applicant has now exceeded the 15% maximum allowable. Deduct $15,807 Indirect Grant.</w:t>
      </w:r>
    </w:p>
    <w:p w14:paraId="2CF244C3" w14:textId="77777777" w:rsidR="004F410D" w:rsidRDefault="002826F6" w:rsidP="00B517C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 xml:space="preserve">Match </w:t>
      </w:r>
      <w:r w:rsidR="00B517CC">
        <w:rPr>
          <w:rFonts w:ascii="Arial" w:hAnsi="Arial" w:cs="Arial"/>
          <w:color w:val="000000"/>
          <w:sz w:val="22"/>
          <w:szCs w:val="22"/>
        </w:rPr>
        <w:t>–</w:t>
      </w:r>
      <w:r w:rsidR="004F41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17CC">
        <w:rPr>
          <w:rFonts w:ascii="Arial" w:hAnsi="Arial" w:cs="Arial"/>
          <w:color w:val="000000"/>
          <w:sz w:val="22"/>
          <w:szCs w:val="22"/>
        </w:rPr>
        <w:t>Applicant has not met required 10% match. Move $7,000 from Indirect Grant to Indirect Match.</w:t>
      </w:r>
    </w:p>
    <w:p w14:paraId="1A0298D6" w14:textId="77777777" w:rsidR="004F410D" w:rsidRDefault="004F410D" w:rsidP="004F410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5D96622" w14:textId="77777777" w:rsidR="004F410D" w:rsidRPr="004F410D" w:rsidRDefault="002826F6" w:rsidP="004F410D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  <w:r w:rsidRPr="004F410D">
        <w:rPr>
          <w:rFonts w:ascii="Arial" w:hAnsi="Arial" w:cs="Arial"/>
          <w:color w:val="000000"/>
          <w:sz w:val="22"/>
          <w:szCs w:val="22"/>
          <w:u w:val="single"/>
        </w:rPr>
        <w:t xml:space="preserve">Revised Totals: </w:t>
      </w:r>
    </w:p>
    <w:p w14:paraId="20ABB9A0" w14:textId="77777777" w:rsidR="004F410D" w:rsidRDefault="002826F6" w:rsidP="004F410D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 xml:space="preserve">Grant Request: $212,718 </w:t>
      </w:r>
    </w:p>
    <w:p w14:paraId="5FF26F94" w14:textId="77777777" w:rsidR="004F410D" w:rsidRDefault="002826F6" w:rsidP="004F410D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 xml:space="preserve">Match: $23,649 </w:t>
      </w:r>
    </w:p>
    <w:p w14:paraId="1EC4923C" w14:textId="76FCEBE4" w:rsidR="002826F6" w:rsidRPr="00B517CC" w:rsidRDefault="002826F6" w:rsidP="004F410D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B517CC">
        <w:rPr>
          <w:rFonts w:ascii="Arial" w:hAnsi="Arial" w:cs="Arial"/>
          <w:color w:val="000000"/>
          <w:sz w:val="22"/>
          <w:szCs w:val="22"/>
        </w:rPr>
        <w:t>Total Project Cost:  $236,367</w:t>
      </w:r>
    </w:p>
    <w:p w14:paraId="2A251FE0" w14:textId="77777777" w:rsidR="00E70B4C" w:rsidRPr="003676DA" w:rsidRDefault="00E70B4C" w:rsidP="00E70B4C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D44A8E4" w14:textId="77777777" w:rsidR="00E70B4C" w:rsidRPr="009460E1" w:rsidRDefault="00E70B4C" w:rsidP="00E70B4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7E102ED5" w14:textId="77777777" w:rsidR="00E70B4C" w:rsidRDefault="00E70B4C" w:rsidP="00E70B4C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84EC05D" w14:textId="586C41B8" w:rsidR="002E3B61" w:rsidRPr="002E3B61" w:rsidRDefault="002E3B61" w:rsidP="002E3B61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2E3B61">
        <w:rPr>
          <w:rFonts w:ascii="Arial" w:hAnsi="Arial" w:cs="Arial"/>
          <w:color w:val="000000"/>
          <w:sz w:val="22"/>
          <w:szCs w:val="22"/>
        </w:rPr>
        <w:t xml:space="preserve">#2 – Applicant did not provide a detailed explanation of the type and severity of impacts that might occur relative to the selections should the project fail to be funded. Deduct 20 </w:t>
      </w:r>
      <w:r w:rsidR="00CB262F" w:rsidRPr="002E3B61">
        <w:rPr>
          <w:rFonts w:ascii="Arial" w:hAnsi="Arial" w:cs="Arial"/>
          <w:color w:val="000000"/>
          <w:sz w:val="22"/>
          <w:szCs w:val="22"/>
        </w:rPr>
        <w:t>points.</w:t>
      </w:r>
    </w:p>
    <w:p w14:paraId="6CA3A823" w14:textId="4738F56D" w:rsidR="00A4646D" w:rsidRPr="00A4646D" w:rsidRDefault="00A4646D" w:rsidP="00A4646D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A4646D">
        <w:rPr>
          <w:rFonts w:ascii="Arial" w:hAnsi="Arial" w:cs="Arial"/>
          <w:color w:val="000000"/>
          <w:sz w:val="22"/>
          <w:szCs w:val="22"/>
        </w:rPr>
        <w:t xml:space="preserve">#4 – Applicant's selection ''Educational Signage'' is not supported by the narrative and Project Cost </w:t>
      </w:r>
      <w:r w:rsidR="00CA3AE8" w:rsidRPr="00A4646D">
        <w:rPr>
          <w:rFonts w:ascii="Arial" w:hAnsi="Arial" w:cs="Arial"/>
          <w:color w:val="000000"/>
          <w:sz w:val="22"/>
          <w:szCs w:val="22"/>
        </w:rPr>
        <w:t>Estimate (</w:t>
      </w:r>
      <w:r w:rsidRPr="00A4646D">
        <w:rPr>
          <w:rFonts w:ascii="Arial" w:hAnsi="Arial" w:cs="Arial"/>
          <w:color w:val="000000"/>
          <w:sz w:val="22"/>
          <w:szCs w:val="22"/>
        </w:rPr>
        <w:t>PCE).  There is no Educational Signage materials listed in the PCE.  Deduct 2 point(s).</w:t>
      </w:r>
    </w:p>
    <w:p w14:paraId="1EDF9FD8" w14:textId="59581C66" w:rsidR="00CA3AE8" w:rsidRPr="00CA3AE8" w:rsidRDefault="00CA3AE8" w:rsidP="00CA3AE8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CA3AE8">
        <w:rPr>
          <w:rFonts w:ascii="Arial" w:hAnsi="Arial" w:cs="Arial"/>
          <w:color w:val="000000"/>
          <w:sz w:val="22"/>
          <w:szCs w:val="22"/>
        </w:rPr>
        <w:t>#12 – Applicant made changes to this question without Division or public comment.  Deduct 20 points.</w:t>
      </w:r>
    </w:p>
    <w:p w14:paraId="08DD81AD" w14:textId="238311F0" w:rsidR="00F04D40" w:rsidRPr="00A61F00" w:rsidRDefault="00F04D40" w:rsidP="00A61F0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  <w:sectPr w:rsidR="00F04D40" w:rsidRPr="00A61F0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180E5471" w:rsidR="005B215A" w:rsidRPr="00B82C09" w:rsidRDefault="005B215A" w:rsidP="00B82C09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B82C09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5ECAC84A" w:rsidR="005B215A" w:rsidRPr="00B82C09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B82C09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58A8C419" w:rsidR="005B215A" w:rsidRPr="00B82C09" w:rsidRDefault="005B215A" w:rsidP="00B82C09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B82C09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620DB04" w:rsidR="00407912" w:rsidRPr="00407912" w:rsidRDefault="00E70B4C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70B4C">
      <w:rPr>
        <w:rFonts w:ascii="Arial" w:hAnsi="Arial" w:cs="Arial"/>
        <w:sz w:val="22"/>
        <w:szCs w:val="22"/>
      </w:rPr>
      <w:t xml:space="preserve">Farmworker Institute of Education and Leadership Development Inc.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E3FDA58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B82C09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191"/>
    <w:multiLevelType w:val="hybridMultilevel"/>
    <w:tmpl w:val="8D1AC4AA"/>
    <w:lvl w:ilvl="0" w:tplc="27A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6DF"/>
    <w:multiLevelType w:val="hybridMultilevel"/>
    <w:tmpl w:val="94E21DF4"/>
    <w:lvl w:ilvl="0" w:tplc="27A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22FB"/>
    <w:multiLevelType w:val="hybridMultilevel"/>
    <w:tmpl w:val="71461B7E"/>
    <w:lvl w:ilvl="0" w:tplc="27A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2AC"/>
    <w:multiLevelType w:val="hybridMultilevel"/>
    <w:tmpl w:val="6DB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FC5DA1"/>
    <w:multiLevelType w:val="hybridMultilevel"/>
    <w:tmpl w:val="1CEE2142"/>
    <w:lvl w:ilvl="0" w:tplc="27A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47B4"/>
    <w:multiLevelType w:val="hybridMultilevel"/>
    <w:tmpl w:val="488C75B2"/>
    <w:lvl w:ilvl="0" w:tplc="27A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oUZ+wpAV+8VAWP36FGFbPLi9QFBhBm80dhZcbAvsyF4yF4bGypGqahRLRQe2HgUqf+gCtKZo9yoDC6GltwofA==" w:salt="dpSBGcFrgs/iilNizVtAr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1A70"/>
    <w:rsid w:val="00013C56"/>
    <w:rsid w:val="000170E0"/>
    <w:rsid w:val="0003335A"/>
    <w:rsid w:val="00042577"/>
    <w:rsid w:val="00074C8D"/>
    <w:rsid w:val="00091DA8"/>
    <w:rsid w:val="000B3D0B"/>
    <w:rsid w:val="001167C8"/>
    <w:rsid w:val="001E1516"/>
    <w:rsid w:val="001F2C6F"/>
    <w:rsid w:val="001F3F94"/>
    <w:rsid w:val="002826F6"/>
    <w:rsid w:val="002D128F"/>
    <w:rsid w:val="002E180A"/>
    <w:rsid w:val="002E2E6C"/>
    <w:rsid w:val="002E3B61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66DD1"/>
    <w:rsid w:val="004A4EF2"/>
    <w:rsid w:val="004B66C8"/>
    <w:rsid w:val="004E2E5A"/>
    <w:rsid w:val="004F410D"/>
    <w:rsid w:val="00514C2A"/>
    <w:rsid w:val="0052412F"/>
    <w:rsid w:val="005A085E"/>
    <w:rsid w:val="005A255C"/>
    <w:rsid w:val="005B215A"/>
    <w:rsid w:val="006015F1"/>
    <w:rsid w:val="0060258F"/>
    <w:rsid w:val="006233CA"/>
    <w:rsid w:val="00624944"/>
    <w:rsid w:val="00661D13"/>
    <w:rsid w:val="0066709C"/>
    <w:rsid w:val="00687C41"/>
    <w:rsid w:val="006D2D2E"/>
    <w:rsid w:val="006F5824"/>
    <w:rsid w:val="00707DAC"/>
    <w:rsid w:val="00720A7E"/>
    <w:rsid w:val="0073175F"/>
    <w:rsid w:val="00736340"/>
    <w:rsid w:val="00742E02"/>
    <w:rsid w:val="0076076C"/>
    <w:rsid w:val="007A34A5"/>
    <w:rsid w:val="007B3185"/>
    <w:rsid w:val="007F05E3"/>
    <w:rsid w:val="00842AF1"/>
    <w:rsid w:val="008616EC"/>
    <w:rsid w:val="00877C0F"/>
    <w:rsid w:val="008C19CE"/>
    <w:rsid w:val="008D3242"/>
    <w:rsid w:val="008E27A0"/>
    <w:rsid w:val="008F3C1C"/>
    <w:rsid w:val="00941DCD"/>
    <w:rsid w:val="009460E1"/>
    <w:rsid w:val="009B0EDD"/>
    <w:rsid w:val="009C76D5"/>
    <w:rsid w:val="009E0A6D"/>
    <w:rsid w:val="009E4CD8"/>
    <w:rsid w:val="009E630B"/>
    <w:rsid w:val="00A4646D"/>
    <w:rsid w:val="00A61F00"/>
    <w:rsid w:val="00A72250"/>
    <w:rsid w:val="00A723DF"/>
    <w:rsid w:val="00A86CD2"/>
    <w:rsid w:val="00AD2CD2"/>
    <w:rsid w:val="00B00365"/>
    <w:rsid w:val="00B2308F"/>
    <w:rsid w:val="00B23CD2"/>
    <w:rsid w:val="00B333D5"/>
    <w:rsid w:val="00B517CC"/>
    <w:rsid w:val="00B63902"/>
    <w:rsid w:val="00B71734"/>
    <w:rsid w:val="00B723AA"/>
    <w:rsid w:val="00B75280"/>
    <w:rsid w:val="00B82C09"/>
    <w:rsid w:val="00B87F70"/>
    <w:rsid w:val="00B93326"/>
    <w:rsid w:val="00BD33EA"/>
    <w:rsid w:val="00BF7656"/>
    <w:rsid w:val="00C1421F"/>
    <w:rsid w:val="00C700C3"/>
    <w:rsid w:val="00C91611"/>
    <w:rsid w:val="00CA3AE8"/>
    <w:rsid w:val="00CB262F"/>
    <w:rsid w:val="00D059AA"/>
    <w:rsid w:val="00D412B1"/>
    <w:rsid w:val="00D66664"/>
    <w:rsid w:val="00D858A8"/>
    <w:rsid w:val="00DE67A9"/>
    <w:rsid w:val="00DF2411"/>
    <w:rsid w:val="00E22078"/>
    <w:rsid w:val="00E53D69"/>
    <w:rsid w:val="00E70B4C"/>
    <w:rsid w:val="00E8133C"/>
    <w:rsid w:val="00E8317A"/>
    <w:rsid w:val="00EA4929"/>
    <w:rsid w:val="00ED46B9"/>
    <w:rsid w:val="00F04D40"/>
    <w:rsid w:val="00F364DA"/>
    <w:rsid w:val="00F7131D"/>
    <w:rsid w:val="00F9508F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840</Words>
  <Characters>4791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44</cp:revision>
  <dcterms:created xsi:type="dcterms:W3CDTF">2021-06-25T20:49:00Z</dcterms:created>
  <dcterms:modified xsi:type="dcterms:W3CDTF">2021-08-06T15:52:00Z</dcterms:modified>
</cp:coreProperties>
</file>