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AB5B273" w:rsidR="003676DA" w:rsidRPr="00414D4C" w:rsidRDefault="00465EA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5E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County of Lassen Department of Public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AB5B273" w:rsidR="003676DA" w:rsidRPr="00414D4C" w:rsidRDefault="00465EA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5EA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County of Lassen Department of Public Works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25054569" w14:textId="01957B1E" w:rsidR="00457CF1" w:rsidRDefault="00457CF1" w:rsidP="00842AF1"/>
    <w:p w14:paraId="5EA0CE6A" w14:textId="77777777" w:rsidR="00462189" w:rsidRDefault="00462189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CB5810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0" w:name="_Hlk78814237"/>
      <w:r w:rsidRPr="007A34A5">
        <w:rPr>
          <w:rFonts w:ascii="Arial" w:hAnsi="Arial" w:cs="Arial"/>
          <w:sz w:val="22"/>
          <w:szCs w:val="22"/>
        </w:rPr>
        <w:t>–</w:t>
      </w:r>
      <w:bookmarkEnd w:id="0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331FCD">
        <w:rPr>
          <w:rFonts w:ascii="Arial" w:hAnsi="Arial" w:cs="Arial"/>
          <w:sz w:val="22"/>
          <w:szCs w:val="22"/>
        </w:rPr>
        <w:t>0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0A234B33" w14:textId="022CB675" w:rsidR="00331FCD" w:rsidRDefault="00331FCD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#6 – Applicant has been responsive. Add 3 points.</w:t>
      </w:r>
    </w:p>
    <w:p w14:paraId="709A974C" w14:textId="734F1299" w:rsidR="00331FCD" w:rsidRPr="00331FCD" w:rsidRDefault="00331FCD" w:rsidP="00331FC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#7b – Applicant did not clarify the frequency of patrols and it remains unclear if the majority of OHV Opportunity areas are patrolled. Deduct 5 points.</w:t>
      </w:r>
    </w:p>
    <w:p w14:paraId="75AB2841" w14:textId="278B8C5C" w:rsidR="00331FCD" w:rsidRPr="00331FCD" w:rsidRDefault="00331FCD" w:rsidP="00331FC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#7c – Narrative does not support the selection, as the question pertains to ''Education programs, maps...'' provided by the Applicant, not the Sheriff</w:t>
      </w:r>
      <w:r>
        <w:rPr>
          <w:rFonts w:ascii="Arial" w:hAnsi="Arial" w:cs="Arial"/>
          <w:sz w:val="22"/>
          <w:szCs w:val="22"/>
        </w:rPr>
        <w:t>’</w:t>
      </w:r>
      <w:r w:rsidRPr="00331FCD">
        <w:rPr>
          <w:rFonts w:ascii="Arial" w:hAnsi="Arial" w:cs="Arial"/>
          <w:sz w:val="22"/>
          <w:szCs w:val="22"/>
        </w:rPr>
        <w:t>s Office. Deduct 2 points.</w:t>
      </w:r>
    </w:p>
    <w:p w14:paraId="42344A50" w14:textId="1C2E6903" w:rsidR="00331FCD" w:rsidRPr="00331FCD" w:rsidRDefault="00331FCD" w:rsidP="00331FC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#11a – Narrative does not support the selection, as the question pertains to ''Free literature...'' provided by the Applicant. Lassen County Sheriff</w:t>
      </w:r>
      <w:r>
        <w:rPr>
          <w:rFonts w:ascii="Arial" w:hAnsi="Arial" w:cs="Arial"/>
          <w:sz w:val="22"/>
          <w:szCs w:val="22"/>
        </w:rPr>
        <w:t>’</w:t>
      </w:r>
      <w:r w:rsidRPr="00331FCD">
        <w:rPr>
          <w:rFonts w:ascii="Arial" w:hAnsi="Arial" w:cs="Arial"/>
          <w:sz w:val="22"/>
          <w:szCs w:val="22"/>
        </w:rPr>
        <w:t>s Office is not the Applicant. Deduct 5 points.</w:t>
      </w:r>
    </w:p>
    <w:p w14:paraId="6B13ACE9" w14:textId="5D38962C" w:rsidR="00331FCD" w:rsidRPr="00331FCD" w:rsidRDefault="00331FCD" w:rsidP="00331FC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#12a &amp;</w:t>
      </w:r>
      <w:r w:rsidR="00597EFC">
        <w:rPr>
          <w:rFonts w:ascii="Arial" w:hAnsi="Arial" w:cs="Arial"/>
          <w:sz w:val="22"/>
          <w:szCs w:val="22"/>
        </w:rPr>
        <w:t xml:space="preserve"> </w:t>
      </w:r>
      <w:r w:rsidRPr="00331FCD">
        <w:rPr>
          <w:rFonts w:ascii="Arial" w:hAnsi="Arial" w:cs="Arial"/>
          <w:sz w:val="22"/>
          <w:szCs w:val="22"/>
        </w:rPr>
        <w:t>12b – Responses are not valid, as it must be a website provided by the Applicant containing OHV outreach efforts. Deduct 5 points.</w:t>
      </w:r>
    </w:p>
    <w:p w14:paraId="6CDD5C48" w14:textId="01B9541C" w:rsidR="00331FCD" w:rsidRPr="00331FCD" w:rsidRDefault="00331FCD" w:rsidP="00331FC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#9a – Narrative does not support the development of a systematic methodology consistent with the 2008 Soil Standards. Also, the Lassen County Roads Department is not the Grant Applicant. Deduct 5 points.</w:t>
      </w:r>
    </w:p>
    <w:p w14:paraId="3D238918" w14:textId="50E6AF91" w:rsidR="00F04D40" w:rsidRDefault="00331FCD" w:rsidP="0046218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31FCD">
        <w:rPr>
          <w:rFonts w:ascii="Arial" w:hAnsi="Arial" w:cs="Arial"/>
          <w:sz w:val="22"/>
          <w:szCs w:val="22"/>
        </w:rPr>
        <w:t>#9b – Narrative does not support methods to address soil issues. Also, the Lassen County Roads Department is not the Grant Applicant. Deduct 5 points.</w:t>
      </w:r>
    </w:p>
    <w:p w14:paraId="3CEA3F91" w14:textId="77777777" w:rsidR="00462189" w:rsidRPr="00462189" w:rsidRDefault="00462189" w:rsidP="00462189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3E5D990A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465EAC" w:rsidRPr="00465E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G21-03-31-G01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3E5D990A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465EAC" w:rsidRPr="00465EA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G21-03-31-G01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B4A3615" w:rsidR="00687C41" w:rsidRDefault="005673E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673E8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346B338" w:rsidR="00457CF1" w:rsidRPr="005673E8" w:rsidRDefault="005673E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673E8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034D56D3" w:rsidR="00457CF1" w:rsidRPr="005673E8" w:rsidRDefault="005673E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673E8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0B592ECA" w:rsidR="00457CF1" w:rsidRPr="005673E8" w:rsidRDefault="005673E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673E8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1F40A89" w14:textId="1A42CCE9" w:rsidR="005673E8" w:rsidRDefault="005673E8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 xml:space="preserve">Staff #4-6 </w:t>
      </w:r>
      <w:r w:rsidR="006E5E74">
        <w:rPr>
          <w:rFonts w:ascii="Arial" w:hAnsi="Arial" w:cs="Arial"/>
          <w:iCs/>
          <w:sz w:val="22"/>
          <w:szCs w:val="22"/>
        </w:rPr>
        <w:t>“</w:t>
      </w:r>
      <w:r w:rsidRPr="005673E8">
        <w:rPr>
          <w:rFonts w:ascii="Arial" w:hAnsi="Arial" w:cs="Arial"/>
          <w:iCs/>
          <w:sz w:val="22"/>
          <w:szCs w:val="22"/>
        </w:rPr>
        <w:t>Belly Dump Operator</w:t>
      </w:r>
      <w:r w:rsidR="006E5E74">
        <w:rPr>
          <w:rFonts w:ascii="Arial" w:hAnsi="Arial" w:cs="Arial"/>
          <w:iCs/>
          <w:sz w:val="22"/>
          <w:szCs w:val="22"/>
        </w:rPr>
        <w:t>”</w:t>
      </w:r>
      <w:r w:rsidRPr="005673E8">
        <w:rPr>
          <w:rFonts w:ascii="Arial" w:hAnsi="Arial" w:cs="Arial"/>
          <w:iCs/>
          <w:sz w:val="22"/>
          <w:szCs w:val="22"/>
        </w:rPr>
        <w:t xml:space="preserve"> – Line items appear duplicative of lines 1-3. It is unclear why 6 operators are needed. Lines are removed. Deduct $12,172 match.</w:t>
      </w:r>
    </w:p>
    <w:p w14:paraId="46949FCC" w14:textId="2C3BC4E4" w:rsidR="005673E8" w:rsidRDefault="005673E8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 xml:space="preserve">Materials/Supplies #2 </w:t>
      </w:r>
      <w:r w:rsidR="006E5E74">
        <w:rPr>
          <w:rFonts w:ascii="Arial" w:hAnsi="Arial" w:cs="Arial"/>
          <w:iCs/>
          <w:sz w:val="22"/>
          <w:szCs w:val="22"/>
        </w:rPr>
        <w:t>“</w:t>
      </w:r>
      <w:r w:rsidRPr="005673E8">
        <w:rPr>
          <w:rFonts w:ascii="Arial" w:hAnsi="Arial" w:cs="Arial"/>
          <w:iCs/>
          <w:sz w:val="22"/>
          <w:szCs w:val="22"/>
        </w:rPr>
        <w:t>Signs, Posts</w:t>
      </w:r>
      <w:r w:rsidR="006E5E74">
        <w:rPr>
          <w:rFonts w:ascii="Arial" w:hAnsi="Arial" w:cs="Arial"/>
          <w:iCs/>
          <w:sz w:val="22"/>
          <w:szCs w:val="22"/>
        </w:rPr>
        <w:t>”</w:t>
      </w:r>
      <w:r w:rsidRPr="005673E8">
        <w:rPr>
          <w:rFonts w:ascii="Arial" w:hAnsi="Arial" w:cs="Arial"/>
          <w:iCs/>
          <w:sz w:val="22"/>
          <w:szCs w:val="22"/>
        </w:rPr>
        <w:t xml:space="preserve"> – Applicant defined how the total was derived, however </w:t>
      </w:r>
      <w:r>
        <w:rPr>
          <w:rFonts w:ascii="Arial" w:hAnsi="Arial" w:cs="Arial"/>
          <w:iCs/>
          <w:sz w:val="22"/>
          <w:szCs w:val="22"/>
        </w:rPr>
        <w:t>A</w:t>
      </w:r>
      <w:r w:rsidRPr="005673E8">
        <w:rPr>
          <w:rFonts w:ascii="Arial" w:hAnsi="Arial" w:cs="Arial"/>
          <w:iCs/>
          <w:sz w:val="22"/>
          <w:szCs w:val="22"/>
        </w:rPr>
        <w:t>pplicant’s math does not equal amount requested. Deduct $1,318 Grant.</w:t>
      </w:r>
    </w:p>
    <w:p w14:paraId="068723A8" w14:textId="45B79733" w:rsidR="005673E8" w:rsidRDefault="005673E8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 xml:space="preserve">Equipment Use Expense #1 </w:t>
      </w:r>
      <w:r w:rsidR="006E5E74">
        <w:rPr>
          <w:rFonts w:ascii="Arial" w:hAnsi="Arial" w:cs="Arial"/>
          <w:iCs/>
          <w:sz w:val="22"/>
          <w:szCs w:val="22"/>
        </w:rPr>
        <w:t>“</w:t>
      </w:r>
      <w:r w:rsidRPr="005673E8">
        <w:rPr>
          <w:rFonts w:ascii="Arial" w:hAnsi="Arial" w:cs="Arial"/>
          <w:iCs/>
          <w:sz w:val="22"/>
          <w:szCs w:val="22"/>
        </w:rPr>
        <w:t>6 Truck Trailers and Belly Dumps</w:t>
      </w:r>
      <w:r w:rsidR="006E5E74">
        <w:rPr>
          <w:rFonts w:ascii="Arial" w:hAnsi="Arial" w:cs="Arial"/>
          <w:iCs/>
          <w:sz w:val="22"/>
          <w:szCs w:val="22"/>
        </w:rPr>
        <w:t>”</w:t>
      </w:r>
      <w:r w:rsidRPr="005673E8">
        <w:rPr>
          <w:rFonts w:ascii="Arial" w:hAnsi="Arial" w:cs="Arial"/>
          <w:iCs/>
          <w:sz w:val="22"/>
          <w:szCs w:val="22"/>
        </w:rPr>
        <w:t xml:space="preserve"> – Per Program regulations, </w:t>
      </w:r>
      <w:r>
        <w:rPr>
          <w:rFonts w:ascii="Arial" w:hAnsi="Arial" w:cs="Arial"/>
          <w:iCs/>
          <w:sz w:val="22"/>
          <w:szCs w:val="22"/>
        </w:rPr>
        <w:t>t</w:t>
      </w:r>
      <w:r w:rsidRPr="005673E8">
        <w:rPr>
          <w:rFonts w:ascii="Arial" w:hAnsi="Arial" w:cs="Arial"/>
          <w:iCs/>
          <w:sz w:val="22"/>
          <w:szCs w:val="22"/>
        </w:rPr>
        <w:t xml:space="preserve">railers are no longer eligible for a use fee as it does not meet the definition of Equipment as it does not have a motor. Line item is reduced 1/3. Deduct $18,418 match. </w:t>
      </w:r>
    </w:p>
    <w:p w14:paraId="38B51E8B" w14:textId="77777777" w:rsidR="005673E8" w:rsidRDefault="005673E8" w:rsidP="005673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BF6071C" w14:textId="77777777" w:rsidR="005673E8" w:rsidRPr="005673E8" w:rsidRDefault="005673E8" w:rsidP="005673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5673E8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27863560" w14:textId="77777777" w:rsidR="005673E8" w:rsidRDefault="005673E8" w:rsidP="005673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>Grant Request: $203,103</w:t>
      </w:r>
    </w:p>
    <w:p w14:paraId="23485743" w14:textId="77777777" w:rsidR="005673E8" w:rsidRDefault="005673E8" w:rsidP="005673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>Match: $123,015</w:t>
      </w:r>
    </w:p>
    <w:p w14:paraId="4F9660F1" w14:textId="62BA61D7" w:rsidR="008616EC" w:rsidRPr="005673E8" w:rsidRDefault="005673E8" w:rsidP="005673E8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673E8">
        <w:rPr>
          <w:rFonts w:ascii="Arial" w:hAnsi="Arial" w:cs="Arial"/>
          <w:iCs/>
          <w:sz w:val="22"/>
          <w:szCs w:val="22"/>
        </w:rPr>
        <w:t>Total Project cost: $326,118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4946C170" w:rsidR="00F04D40" w:rsidRPr="00A72250" w:rsidRDefault="005673E8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5673E8">
        <w:rPr>
          <w:rFonts w:ascii="Arial" w:hAnsi="Arial" w:cs="Arial"/>
          <w:sz w:val="22"/>
          <w:szCs w:val="22"/>
        </w:rPr>
        <w:t>#5 – Narrative does not support selections. Applicant did not state how partners are actively participating in this Project. Deduct 2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61E21478" w:rsidR="00F04D40" w:rsidRPr="005673E8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5673E8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0FCAC527" w:rsidR="005B215A" w:rsidRPr="005673E8" w:rsidRDefault="005B215A" w:rsidP="005673E8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5673E8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60D1D8D4" w:rsidR="005B215A" w:rsidRPr="005673E8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5673E8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A0AAAD8" w:rsidR="005B215A" w:rsidRPr="005673E8" w:rsidRDefault="005B215A" w:rsidP="005673E8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5673E8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EDB783C" w:rsidR="00407912" w:rsidRPr="00407912" w:rsidRDefault="00465EA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65EAC">
      <w:rPr>
        <w:rFonts w:ascii="Arial" w:hAnsi="Arial" w:cs="Arial"/>
        <w:sz w:val="22"/>
        <w:szCs w:val="22"/>
      </w:rPr>
      <w:t>County of Lassen Department of Public Works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26E96C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ro9btnT6Lmfo1uObyk9q8n9OmdQ2Cf0uc4c4p4t0kX+ZoF6sIZ1euSPObXxcNneTkAZrpWqCfVF4DvdzVfLvCg==" w:salt="L6RUBBW4ppwxZLYyYTrUc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31FCD"/>
    <w:rsid w:val="0036720B"/>
    <w:rsid w:val="003676DA"/>
    <w:rsid w:val="003A06CD"/>
    <w:rsid w:val="003F0741"/>
    <w:rsid w:val="00407912"/>
    <w:rsid w:val="00414D4C"/>
    <w:rsid w:val="00423018"/>
    <w:rsid w:val="00457CF1"/>
    <w:rsid w:val="00462189"/>
    <w:rsid w:val="00465EAC"/>
    <w:rsid w:val="004A4EF2"/>
    <w:rsid w:val="004B66C8"/>
    <w:rsid w:val="004E2E5A"/>
    <w:rsid w:val="00514C2A"/>
    <w:rsid w:val="0052412F"/>
    <w:rsid w:val="005673E8"/>
    <w:rsid w:val="00597EFC"/>
    <w:rsid w:val="005A255C"/>
    <w:rsid w:val="005B215A"/>
    <w:rsid w:val="006233CA"/>
    <w:rsid w:val="00687C41"/>
    <w:rsid w:val="006D2D2E"/>
    <w:rsid w:val="006E5E74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D2C70"/>
    <w:rsid w:val="00C1421F"/>
    <w:rsid w:val="00C700C3"/>
    <w:rsid w:val="00D059AA"/>
    <w:rsid w:val="00D459E3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13</cp:revision>
  <dcterms:created xsi:type="dcterms:W3CDTF">2021-06-25T20:27:00Z</dcterms:created>
  <dcterms:modified xsi:type="dcterms:W3CDTF">2021-08-04T22:48:00Z</dcterms:modified>
</cp:coreProperties>
</file>