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386B467" w:rsidR="003676DA" w:rsidRPr="00414D4C" w:rsidRDefault="00C002E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Ridgecrest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386B467" w:rsidR="003676DA" w:rsidRPr="00414D4C" w:rsidRDefault="00C002E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Ridgecrest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32F0F38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9609FD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7F67B66D" w14:textId="2DC983B0" w:rsidR="009609FD" w:rsidRDefault="009609F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609FD">
        <w:rPr>
          <w:rFonts w:ascii="Arial" w:hAnsi="Arial" w:cs="Arial"/>
          <w:sz w:val="22"/>
          <w:szCs w:val="22"/>
        </w:rPr>
        <w:t xml:space="preserve">#6 </w:t>
      </w:r>
      <w:r w:rsidR="00B87E0E" w:rsidRPr="007A34A5">
        <w:rPr>
          <w:rFonts w:ascii="Arial" w:hAnsi="Arial" w:cs="Arial"/>
          <w:sz w:val="22"/>
          <w:szCs w:val="22"/>
        </w:rPr>
        <w:t xml:space="preserve">– </w:t>
      </w:r>
      <w:r w:rsidR="00B87E0E" w:rsidRPr="009609FD">
        <w:rPr>
          <w:rFonts w:ascii="Arial" w:hAnsi="Arial" w:cs="Arial"/>
          <w:sz w:val="22"/>
          <w:szCs w:val="22"/>
        </w:rPr>
        <w:t>Applicant</w:t>
      </w:r>
      <w:r w:rsidRPr="009609FD">
        <w:rPr>
          <w:rFonts w:ascii="Arial" w:hAnsi="Arial" w:cs="Arial"/>
          <w:sz w:val="22"/>
          <w:szCs w:val="22"/>
        </w:rPr>
        <w:t xml:space="preserve"> has been responsive. Add 3 points.</w:t>
      </w:r>
    </w:p>
    <w:p w14:paraId="0603F086" w14:textId="38CF8833" w:rsidR="009609FD" w:rsidRPr="007A34A5" w:rsidRDefault="009609F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609FD">
        <w:rPr>
          <w:rFonts w:ascii="Arial" w:hAnsi="Arial" w:cs="Arial"/>
          <w:sz w:val="22"/>
          <w:szCs w:val="22"/>
        </w:rPr>
        <w:t xml:space="preserve">#11b </w:t>
      </w:r>
      <w:r w:rsidR="00B87E0E" w:rsidRPr="007A34A5">
        <w:rPr>
          <w:rFonts w:ascii="Arial" w:hAnsi="Arial" w:cs="Arial"/>
          <w:sz w:val="22"/>
          <w:szCs w:val="22"/>
        </w:rPr>
        <w:t xml:space="preserve">– </w:t>
      </w:r>
      <w:r w:rsidR="00B87E0E" w:rsidRPr="009609FD">
        <w:rPr>
          <w:rFonts w:ascii="Arial" w:hAnsi="Arial" w:cs="Arial"/>
          <w:sz w:val="22"/>
          <w:szCs w:val="22"/>
        </w:rPr>
        <w:t>Applicant</w:t>
      </w:r>
      <w:r w:rsidRPr="009609FD">
        <w:rPr>
          <w:rFonts w:ascii="Arial" w:hAnsi="Arial" w:cs="Arial"/>
          <w:sz w:val="22"/>
          <w:szCs w:val="22"/>
        </w:rPr>
        <w:t xml:space="preserve"> did not provide sufficient detail to substantiate the selection of 'formal programs, educational talks...' 5 to 19 times a year. Additional formal outreach programs for work crews is not clear and programs are only valid when provided to the general public vs. volunteers providing match services. Deduct 1 point.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4D37FBE6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C002E9" w:rsidRPr="00C002E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G21-01-15-G01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4D37FBE6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C002E9" w:rsidRPr="00C002E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G21-01-15-G01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D690BD3" w:rsidR="00687C41" w:rsidRDefault="009609F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5F1622FC" w:rsidR="00457CF1" w:rsidRPr="009609FD" w:rsidRDefault="009609FD" w:rsidP="009609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3C9554B8" w:rsidR="00457CF1" w:rsidRPr="009609FD" w:rsidRDefault="009609FD" w:rsidP="009609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684A11CB" w:rsidR="00457CF1" w:rsidRPr="009609FD" w:rsidRDefault="009609FD" w:rsidP="009609F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1983F6D" w14:textId="77777777" w:rsidR="009609FD" w:rsidRDefault="009609FD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02BA8A08" w14:textId="47EC5C28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7FEDD09B" w:rsidR="008616EC" w:rsidRPr="009609FD" w:rsidRDefault="009609FD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609FD">
        <w:rPr>
          <w:rFonts w:ascii="Arial" w:hAnsi="Arial" w:cs="Arial"/>
          <w:i/>
          <w:sz w:val="22"/>
          <w:szCs w:val="22"/>
        </w:rPr>
        <w:t>No change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44BF2A2D" w:rsidR="00F04D40" w:rsidRPr="008B18C4" w:rsidRDefault="009609FD" w:rsidP="009609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 xml:space="preserve">#3 </w:t>
      </w:r>
      <w:r w:rsidR="00B87E0E" w:rsidRPr="008B18C4">
        <w:rPr>
          <w:rFonts w:ascii="Arial" w:hAnsi="Arial" w:cs="Arial"/>
          <w:iCs/>
          <w:sz w:val="22"/>
          <w:szCs w:val="22"/>
        </w:rPr>
        <w:t>– Narrative</w:t>
      </w:r>
      <w:r w:rsidRPr="008B18C4">
        <w:rPr>
          <w:rFonts w:ascii="Arial" w:hAnsi="Arial" w:cs="Arial"/>
          <w:iCs/>
          <w:sz w:val="22"/>
          <w:szCs w:val="22"/>
        </w:rPr>
        <w:t xml:space="preserve"> does not support the selection of ''Maintaining trails that provide for multiuse'' and ''Providing varied levels of riding''. Applicant </w:t>
      </w:r>
      <w:r w:rsidR="00603269">
        <w:rPr>
          <w:rFonts w:ascii="Arial" w:hAnsi="Arial" w:cs="Arial"/>
          <w:iCs/>
          <w:sz w:val="22"/>
          <w:szCs w:val="22"/>
        </w:rPr>
        <w:t>did not</w:t>
      </w:r>
      <w:r w:rsidRPr="008B18C4">
        <w:rPr>
          <w:rFonts w:ascii="Arial" w:hAnsi="Arial" w:cs="Arial"/>
          <w:iCs/>
          <w:sz w:val="22"/>
          <w:szCs w:val="22"/>
        </w:rPr>
        <w:t xml:space="preserve"> provide examples of the activities performed to support the selection.  Deduct 6 points.</w:t>
      </w:r>
    </w:p>
    <w:p w14:paraId="5C95EEBB" w14:textId="4F459CD4" w:rsidR="009609FD" w:rsidRPr="008B18C4" w:rsidRDefault="009609FD" w:rsidP="009609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 xml:space="preserve">#5 – Narrative does not support ''Maturango Museum'' as a valid partner. Applicant did </w:t>
      </w:r>
      <w:r w:rsidR="00B87E0E" w:rsidRPr="008B18C4">
        <w:rPr>
          <w:rFonts w:ascii="Arial" w:hAnsi="Arial" w:cs="Arial"/>
          <w:iCs/>
          <w:sz w:val="22"/>
          <w:szCs w:val="22"/>
        </w:rPr>
        <w:t>not explain</w:t>
      </w:r>
      <w:r w:rsidRPr="008B18C4">
        <w:rPr>
          <w:rFonts w:ascii="Arial" w:hAnsi="Arial" w:cs="Arial"/>
          <w:iCs/>
          <w:sz w:val="22"/>
          <w:szCs w:val="22"/>
        </w:rPr>
        <w:t xml:space="preserve"> how they are actively participating on this Project. Deduct 2 points.</w:t>
      </w:r>
    </w:p>
    <w:p w14:paraId="1AAA5DB5" w14:textId="4488B213" w:rsidR="009609FD" w:rsidRPr="008B18C4" w:rsidRDefault="009609FD" w:rsidP="009609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 xml:space="preserve">#7 </w:t>
      </w:r>
      <w:r w:rsidR="00B87E0E" w:rsidRPr="008B18C4">
        <w:rPr>
          <w:rFonts w:ascii="Arial" w:hAnsi="Arial" w:cs="Arial"/>
          <w:iCs/>
          <w:sz w:val="22"/>
          <w:szCs w:val="22"/>
        </w:rPr>
        <w:t>– Project</w:t>
      </w:r>
      <w:r w:rsidRPr="008B18C4">
        <w:rPr>
          <w:rFonts w:ascii="Arial" w:hAnsi="Arial" w:cs="Arial"/>
          <w:iCs/>
          <w:sz w:val="22"/>
          <w:szCs w:val="22"/>
        </w:rPr>
        <w:t xml:space="preserve"> Description and/or Project Cost Estimate sections do not support the selection ''Other products with...'' are made with recycled materials. Deduct 1 point.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79FB17BD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="00C002E9" w:rsidRPr="00C002E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G21-01-15-R01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79FB17BD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="00C002E9" w:rsidRPr="00C002E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G21-01-15-R01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2D5BB324" w14:textId="77777777" w:rsidR="00B87E0E" w:rsidRPr="008B18C4" w:rsidRDefault="00B87E0E" w:rsidP="00B87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7901F017" w14:textId="77777777" w:rsidR="00457CF1" w:rsidRPr="00B87E0E" w:rsidRDefault="00457CF1" w:rsidP="00B87E0E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F438F5" w14:textId="77777777" w:rsidR="00B87E0E" w:rsidRPr="008B18C4" w:rsidRDefault="00B87E0E" w:rsidP="00B87E0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6B383971" w14:textId="77777777" w:rsidR="00457CF1" w:rsidRPr="00B87E0E" w:rsidRDefault="00457CF1" w:rsidP="00B87E0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139D06C" w14:textId="77777777" w:rsidR="00B87E0E" w:rsidRPr="008B18C4" w:rsidRDefault="00B87E0E" w:rsidP="00B87E0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7CD65011" w14:textId="77777777" w:rsidR="00457CF1" w:rsidRPr="00B87E0E" w:rsidRDefault="00457CF1" w:rsidP="00B87E0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1FD624E" w14:textId="77777777" w:rsidR="00B87E0E" w:rsidRPr="008B18C4" w:rsidRDefault="00B87E0E" w:rsidP="00B87E0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4091CD40" w14:textId="77777777" w:rsidR="00457CF1" w:rsidRPr="00B87E0E" w:rsidRDefault="00457CF1" w:rsidP="00B87E0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0B0FE1E" w14:textId="77777777" w:rsidR="00B87E0E" w:rsidRPr="008B18C4" w:rsidRDefault="00B87E0E" w:rsidP="00B87E0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7B0A8AE5" w14:textId="77777777" w:rsidR="00457CF1" w:rsidRPr="00B87E0E" w:rsidRDefault="00457CF1" w:rsidP="00B87E0E">
      <w:pPr>
        <w:autoSpaceDE w:val="0"/>
        <w:autoSpaceDN w:val="0"/>
        <w:adjustRightInd w:val="0"/>
        <w:ind w:left="360"/>
        <w:rPr>
          <w:rFonts w:ascii="Arial" w:hAnsi="Arial" w:cs="Arial"/>
          <w:i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11EC3DCC" w:rsidR="00B87F70" w:rsidRPr="008B18C4" w:rsidRDefault="00B87E0E" w:rsidP="00B87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0F69FA8C" w14:textId="2E022AC6" w:rsidR="00F04D40" w:rsidRDefault="009609FD" w:rsidP="00AE76A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1E28C40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C002E9" w:rsidRPr="00C002E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YNAwPE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1E28C40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C002E9" w:rsidRPr="00C002E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235F6630" w14:textId="77777777" w:rsidR="009609FD" w:rsidRPr="008B18C4" w:rsidRDefault="009609FD" w:rsidP="0096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52D17BB6" w14:textId="77777777" w:rsidR="007F05E3" w:rsidRPr="009609FD" w:rsidRDefault="007F05E3" w:rsidP="009609FD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65431EB" w:rsidR="007F05E3" w:rsidRPr="008B18C4" w:rsidRDefault="009609FD" w:rsidP="0096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33621D7" w:rsidR="007F05E3" w:rsidRPr="008B18C4" w:rsidRDefault="009609FD" w:rsidP="0096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B18C4">
        <w:rPr>
          <w:rFonts w:ascii="Arial" w:hAnsi="Arial" w:cs="Arial"/>
          <w:iCs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C469A0E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AE76AF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86933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8693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86933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D2EC54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68693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E0C03F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AE76AF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B3A5A01" w:rsidR="00407912" w:rsidRPr="00407912" w:rsidRDefault="00C002E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002E9">
      <w:rPr>
        <w:rFonts w:ascii="Arial" w:hAnsi="Arial" w:cs="Arial"/>
        <w:sz w:val="22"/>
        <w:szCs w:val="22"/>
      </w:rPr>
      <w:t>BLM – Ridgecrest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13F3E130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UlNf5jXYMhcRPdcWOS/1b40Xl0OZ99uMdGDNt4Il2IMXNy/gznuumj9XQUY6I/BKK8h7DN7txGgmmrSQ6CXbpA==" w:salt="JsykfDAC3HKo13DFb03JQ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03269"/>
    <w:rsid w:val="006233CA"/>
    <w:rsid w:val="00686933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B18C4"/>
    <w:rsid w:val="008D3242"/>
    <w:rsid w:val="009460E1"/>
    <w:rsid w:val="009609FD"/>
    <w:rsid w:val="009B0EDD"/>
    <w:rsid w:val="009C76D5"/>
    <w:rsid w:val="009E0A6D"/>
    <w:rsid w:val="009E630B"/>
    <w:rsid w:val="00A72250"/>
    <w:rsid w:val="00A86CD2"/>
    <w:rsid w:val="00AD2CD2"/>
    <w:rsid w:val="00AE76AF"/>
    <w:rsid w:val="00B00365"/>
    <w:rsid w:val="00B2308F"/>
    <w:rsid w:val="00B23CD2"/>
    <w:rsid w:val="00B71734"/>
    <w:rsid w:val="00B723AA"/>
    <w:rsid w:val="00B75280"/>
    <w:rsid w:val="00B87E0E"/>
    <w:rsid w:val="00B87F70"/>
    <w:rsid w:val="00B93326"/>
    <w:rsid w:val="00C002E9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452</Words>
  <Characters>2577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8</cp:revision>
  <dcterms:created xsi:type="dcterms:W3CDTF">2021-06-23T18:22:00Z</dcterms:created>
  <dcterms:modified xsi:type="dcterms:W3CDTF">2021-08-05T19:18:00Z</dcterms:modified>
</cp:coreProperties>
</file>