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C7BD3C2" w:rsidR="003676DA" w:rsidRPr="00414D4C" w:rsidRDefault="00F956ED"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0" w:name="_Hlk75337004"/>
                            <w:bookmarkStart w:id="1" w:name="_Hlk75337005"/>
                            <w:r>
                              <w:rPr>
                                <w:rFonts w:ascii="Arial" w:hAnsi="Arial" w:cs="Arial"/>
                                <w:b/>
                                <w:color w:val="000000" w:themeColor="text1"/>
                                <w:sz w:val="26"/>
                                <w:szCs w:val="26"/>
                                <w14:textOutline w14:w="6350" w14:cap="rnd" w14:cmpd="sng" w14:algn="ctr">
                                  <w14:noFill/>
                                  <w14:prstDash w14:val="solid"/>
                                  <w14:bevel/>
                                </w14:textOutline>
                              </w:rPr>
                              <w:t>BLM – Needles Field office</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6C7BD3C2" w:rsidR="003676DA" w:rsidRPr="00414D4C" w:rsidRDefault="00F956ED"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2" w:name="_Hlk75337004"/>
                      <w:bookmarkStart w:id="3" w:name="_Hlk75337005"/>
                      <w:r>
                        <w:rPr>
                          <w:rFonts w:ascii="Arial" w:hAnsi="Arial" w:cs="Arial"/>
                          <w:b/>
                          <w:color w:val="000000" w:themeColor="text1"/>
                          <w:sz w:val="26"/>
                          <w:szCs w:val="26"/>
                          <w14:textOutline w14:w="6350" w14:cap="rnd" w14:cmpd="sng" w14:algn="ctr">
                            <w14:noFill/>
                            <w14:prstDash w14:val="solid"/>
                            <w14:bevel/>
                          </w14:textOutline>
                        </w:rPr>
                        <w:t>BLM – Needles Field office</w:t>
                      </w:r>
                      <w:bookmarkEnd w:id="2"/>
                      <w:bookmarkEnd w:id="3"/>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40050133" w:rsidR="00F04D40" w:rsidRDefault="00F04D40" w:rsidP="00F04D40">
      <w:pPr>
        <w:pStyle w:val="Default"/>
        <w:rPr>
          <w:sz w:val="22"/>
          <w:szCs w:val="22"/>
        </w:rPr>
      </w:pPr>
      <w:r>
        <w:rPr>
          <w:sz w:val="22"/>
          <w:szCs w:val="22"/>
        </w:rPr>
        <w:t xml:space="preserve">For information regarding the appeal process, see Section 4970.17 of the </w:t>
      </w:r>
      <w:r w:rsidR="00C50759">
        <w:rPr>
          <w:sz w:val="22"/>
          <w:szCs w:val="22"/>
        </w:rPr>
        <w:t>Grant</w:t>
      </w:r>
      <w:r>
        <w:rPr>
          <w:sz w:val="22"/>
          <w:szCs w:val="22"/>
        </w:rPr>
        <w:t xml:space="preserve">s and Cooperative Agreements Program regulations at </w:t>
      </w:r>
      <w:hyperlink r:id="rId8" w:history="1">
        <w:r w:rsidR="00FF002E">
          <w:rPr>
            <w:rStyle w:val="Hyperlink"/>
            <w:sz w:val="22"/>
            <w:szCs w:val="22"/>
          </w:rPr>
          <w:t>https://ohv.parks.ca.gov/pages/1140/files/2021-Regulations.pdf</w:t>
        </w:r>
      </w:hyperlink>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6182F415" w:rsidR="00E8133C" w:rsidRDefault="002E180A" w:rsidP="008616EC">
      <w:pPr>
        <w:pStyle w:val="ListParagraph"/>
        <w:numPr>
          <w:ilvl w:val="0"/>
          <w:numId w:val="1"/>
        </w:numPr>
        <w:spacing w:line="259" w:lineRule="auto"/>
        <w:rPr>
          <w:rFonts w:ascii="Arial" w:hAnsi="Arial" w:cs="Arial"/>
          <w:sz w:val="22"/>
          <w:szCs w:val="22"/>
        </w:rPr>
      </w:pPr>
      <w:r w:rsidRPr="007A34A5">
        <w:rPr>
          <w:rFonts w:ascii="Arial" w:hAnsi="Arial" w:cs="Arial"/>
          <w:sz w:val="22"/>
          <w:szCs w:val="22"/>
        </w:rPr>
        <w:t xml:space="preserve">#1d – OHV Opportunity Ratio. Add </w:t>
      </w:r>
      <w:r w:rsidR="0029370F">
        <w:rPr>
          <w:rFonts w:ascii="Arial" w:hAnsi="Arial" w:cs="Arial"/>
          <w:sz w:val="22"/>
          <w:szCs w:val="22"/>
        </w:rPr>
        <w:t>3</w:t>
      </w:r>
      <w:r w:rsidRPr="007A34A5">
        <w:rPr>
          <w:rFonts w:ascii="Arial" w:hAnsi="Arial" w:cs="Arial"/>
          <w:sz w:val="22"/>
          <w:szCs w:val="22"/>
        </w:rPr>
        <w:t xml:space="preserve"> points.</w:t>
      </w:r>
    </w:p>
    <w:p w14:paraId="77DAC269" w14:textId="64E7409F" w:rsidR="0029370F" w:rsidRDefault="0029370F" w:rsidP="008616EC">
      <w:pPr>
        <w:pStyle w:val="ListParagraph"/>
        <w:numPr>
          <w:ilvl w:val="0"/>
          <w:numId w:val="1"/>
        </w:numPr>
        <w:spacing w:line="259" w:lineRule="auto"/>
        <w:rPr>
          <w:rFonts w:ascii="Arial" w:hAnsi="Arial" w:cs="Arial"/>
          <w:sz w:val="22"/>
          <w:szCs w:val="22"/>
        </w:rPr>
      </w:pPr>
      <w:r w:rsidRPr="0029370F">
        <w:rPr>
          <w:rFonts w:ascii="Arial" w:hAnsi="Arial" w:cs="Arial"/>
          <w:sz w:val="22"/>
          <w:szCs w:val="22"/>
        </w:rPr>
        <w:t xml:space="preserve">#6 </w:t>
      </w:r>
      <w:r w:rsidR="007C3ABC" w:rsidRPr="007A34A5">
        <w:rPr>
          <w:rFonts w:ascii="Arial" w:hAnsi="Arial" w:cs="Arial"/>
          <w:sz w:val="22"/>
          <w:szCs w:val="22"/>
        </w:rPr>
        <w:t>–</w:t>
      </w:r>
      <w:r w:rsidRPr="0029370F">
        <w:rPr>
          <w:rFonts w:ascii="Arial" w:hAnsi="Arial" w:cs="Arial"/>
          <w:sz w:val="22"/>
          <w:szCs w:val="22"/>
        </w:rPr>
        <w:t xml:space="preserve"> Applicant has been responsive. Add 3 points.</w:t>
      </w:r>
    </w:p>
    <w:p w14:paraId="29715620" w14:textId="45E09698" w:rsidR="0029370F" w:rsidRDefault="0029370F" w:rsidP="008616EC">
      <w:pPr>
        <w:pStyle w:val="ListParagraph"/>
        <w:numPr>
          <w:ilvl w:val="0"/>
          <w:numId w:val="1"/>
        </w:numPr>
        <w:spacing w:line="259" w:lineRule="auto"/>
        <w:rPr>
          <w:rFonts w:ascii="Arial" w:hAnsi="Arial" w:cs="Arial"/>
          <w:sz w:val="22"/>
          <w:szCs w:val="22"/>
        </w:rPr>
      </w:pPr>
      <w:r w:rsidRPr="0029370F">
        <w:rPr>
          <w:rFonts w:ascii="Arial" w:hAnsi="Arial" w:cs="Arial"/>
          <w:sz w:val="22"/>
          <w:szCs w:val="22"/>
        </w:rPr>
        <w:t xml:space="preserve">#11b </w:t>
      </w:r>
      <w:r w:rsidR="007C3ABC" w:rsidRPr="007A34A5">
        <w:rPr>
          <w:rFonts w:ascii="Arial" w:hAnsi="Arial" w:cs="Arial"/>
          <w:sz w:val="22"/>
          <w:szCs w:val="22"/>
        </w:rPr>
        <w:t>–</w:t>
      </w:r>
      <w:r w:rsidRPr="0029370F">
        <w:rPr>
          <w:rFonts w:ascii="Arial" w:hAnsi="Arial" w:cs="Arial"/>
          <w:sz w:val="22"/>
          <w:szCs w:val="22"/>
        </w:rPr>
        <w:t xml:space="preserve"> Applicant did not clarify they intend to provide ''hosted onsite'' formal programs to educate the public on ''safe and responsible OHV recreational programs'' 5 to 19 times a year, nor did they explain how the listed items are 'formal', 'education talks,' etc. Deduct 1 point.</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1B66AD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F956ED">
                              <w:rPr>
                                <w:rFonts w:ascii="Arial" w:hAnsi="Arial" w:cs="Arial"/>
                                <w:b/>
                                <w:color w:val="000000" w:themeColor="text1"/>
                                <w:sz w:val="26"/>
                                <w:szCs w:val="26"/>
                              </w:rPr>
                              <w:t xml:space="preserve"> – Route Signing and Monitoring</w:t>
                            </w:r>
                            <w:r>
                              <w:rPr>
                                <w:rFonts w:ascii="Arial" w:hAnsi="Arial" w:cs="Arial"/>
                                <w:b/>
                                <w:color w:val="000000" w:themeColor="text1"/>
                                <w:sz w:val="26"/>
                                <w:szCs w:val="26"/>
                              </w:rPr>
                              <w:t xml:space="preserve">, </w:t>
                            </w:r>
                            <w:r w:rsidR="00F956ED" w:rsidRPr="00F956ED">
                              <w:rPr>
                                <w:rFonts w:ascii="Arial" w:hAnsi="Arial" w:cs="Arial"/>
                                <w:b/>
                                <w:color w:val="000000" w:themeColor="text1"/>
                                <w:sz w:val="26"/>
                                <w:szCs w:val="26"/>
                              </w:rPr>
                              <w:t>G21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01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12</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61B66AD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F956ED">
                        <w:rPr>
                          <w:rFonts w:ascii="Arial" w:hAnsi="Arial" w:cs="Arial"/>
                          <w:b/>
                          <w:color w:val="000000" w:themeColor="text1"/>
                          <w:sz w:val="26"/>
                          <w:szCs w:val="26"/>
                        </w:rPr>
                        <w:t xml:space="preserve"> – Route Signing and Monitoring</w:t>
                      </w:r>
                      <w:r>
                        <w:rPr>
                          <w:rFonts w:ascii="Arial" w:hAnsi="Arial" w:cs="Arial"/>
                          <w:b/>
                          <w:color w:val="000000" w:themeColor="text1"/>
                          <w:sz w:val="26"/>
                          <w:szCs w:val="26"/>
                        </w:rPr>
                        <w:t xml:space="preserve">, </w:t>
                      </w:r>
                      <w:r w:rsidR="00F956ED" w:rsidRPr="00F956ED">
                        <w:rPr>
                          <w:rFonts w:ascii="Arial" w:hAnsi="Arial" w:cs="Arial"/>
                          <w:b/>
                          <w:color w:val="000000" w:themeColor="text1"/>
                          <w:sz w:val="26"/>
                          <w:szCs w:val="26"/>
                        </w:rPr>
                        <w:t>G21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01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12</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1D7663DD" w:rsidR="00687C41" w:rsidRDefault="002D16BE"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3497D34" w14:textId="383A8F96" w:rsidR="00457CF1" w:rsidRDefault="00457CF1" w:rsidP="001E1516">
      <w:pPr>
        <w:tabs>
          <w:tab w:val="num" w:pos="720"/>
        </w:tabs>
        <w:contextualSpacing/>
        <w:rPr>
          <w:rFonts w:ascii="Arial" w:hAnsi="Arial" w:cs="Arial"/>
          <w:b/>
          <w:i/>
        </w:rPr>
      </w:pPr>
      <w:r>
        <w:rPr>
          <w:rFonts w:ascii="Arial" w:hAnsi="Arial" w:cs="Arial"/>
          <w:b/>
          <w:i/>
        </w:rPr>
        <w:t xml:space="preserve">Project Description – Project Description </w:t>
      </w:r>
    </w:p>
    <w:p w14:paraId="5AB793B5" w14:textId="39A34C94" w:rsidR="00457CF1" w:rsidRDefault="00457CF1" w:rsidP="001E1516">
      <w:pPr>
        <w:tabs>
          <w:tab w:val="num" w:pos="720"/>
        </w:tabs>
        <w:contextualSpacing/>
        <w:rPr>
          <w:rFonts w:ascii="Arial" w:hAnsi="Arial" w:cs="Arial"/>
          <w:b/>
          <w:i/>
        </w:rPr>
      </w:pPr>
    </w:p>
    <w:p w14:paraId="48BD907F" w14:textId="7C3584F8" w:rsidR="00457CF1" w:rsidRPr="002D16BE" w:rsidRDefault="002D16BE" w:rsidP="002D16BE">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3404F674" w14:textId="77777777" w:rsidR="00457CF1" w:rsidRDefault="00457CF1" w:rsidP="001E1516">
      <w:pPr>
        <w:tabs>
          <w:tab w:val="num" w:pos="720"/>
        </w:tabs>
        <w:contextualSpacing/>
        <w:rPr>
          <w:rFonts w:ascii="Arial" w:hAnsi="Arial" w:cs="Arial"/>
          <w:b/>
          <w:i/>
        </w:rPr>
      </w:pPr>
    </w:p>
    <w:p w14:paraId="6F8718CF" w14:textId="564487D0" w:rsidR="00457CF1" w:rsidRDefault="00457CF1" w:rsidP="001E1516">
      <w:pPr>
        <w:tabs>
          <w:tab w:val="num" w:pos="720"/>
        </w:tabs>
        <w:contextualSpacing/>
        <w:rPr>
          <w:rFonts w:ascii="Arial" w:hAnsi="Arial" w:cs="Arial"/>
          <w:b/>
          <w:i/>
        </w:rPr>
      </w:pPr>
      <w:r>
        <w:rPr>
          <w:rFonts w:ascii="Arial" w:hAnsi="Arial" w:cs="Arial"/>
          <w:b/>
          <w:i/>
        </w:rPr>
        <w:t xml:space="preserve">Project Description – List of Project Deliverables </w:t>
      </w:r>
    </w:p>
    <w:p w14:paraId="1E1B1905" w14:textId="109BA238" w:rsidR="00457CF1" w:rsidRDefault="00457CF1" w:rsidP="001E1516">
      <w:pPr>
        <w:tabs>
          <w:tab w:val="num" w:pos="720"/>
        </w:tabs>
        <w:contextualSpacing/>
        <w:rPr>
          <w:rFonts w:ascii="Arial" w:hAnsi="Arial" w:cs="Arial"/>
          <w:b/>
          <w:i/>
        </w:rPr>
      </w:pPr>
    </w:p>
    <w:p w14:paraId="3DAB0A2C" w14:textId="416E500A" w:rsidR="00457CF1" w:rsidRPr="002D16BE" w:rsidRDefault="002D16BE" w:rsidP="002D16BE">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17FC24B5" w14:textId="77777777" w:rsidR="00457CF1" w:rsidRDefault="00457CF1" w:rsidP="001E1516">
      <w:pPr>
        <w:tabs>
          <w:tab w:val="num" w:pos="720"/>
        </w:tabs>
        <w:contextualSpacing/>
        <w:rPr>
          <w:rFonts w:ascii="Arial" w:hAnsi="Arial" w:cs="Arial"/>
          <w:b/>
          <w:i/>
        </w:rPr>
      </w:pPr>
    </w:p>
    <w:p w14:paraId="260F1947" w14:textId="13180E7C" w:rsidR="00457CF1" w:rsidRDefault="00457CF1" w:rsidP="001E1516">
      <w:pPr>
        <w:tabs>
          <w:tab w:val="num" w:pos="720"/>
        </w:tabs>
        <w:contextualSpacing/>
        <w:rPr>
          <w:rFonts w:ascii="Arial" w:hAnsi="Arial" w:cs="Arial"/>
          <w:b/>
          <w:i/>
        </w:rPr>
      </w:pPr>
      <w:r>
        <w:rPr>
          <w:rFonts w:ascii="Arial" w:hAnsi="Arial" w:cs="Arial"/>
          <w:b/>
          <w:i/>
        </w:rPr>
        <w:t xml:space="preserve">Project Description – All Others </w:t>
      </w:r>
    </w:p>
    <w:p w14:paraId="1CF0686A" w14:textId="4DE27B48" w:rsidR="00457CF1" w:rsidRDefault="00457CF1" w:rsidP="001E1516">
      <w:pPr>
        <w:tabs>
          <w:tab w:val="num" w:pos="720"/>
        </w:tabs>
        <w:contextualSpacing/>
        <w:rPr>
          <w:rFonts w:ascii="Arial" w:hAnsi="Arial" w:cs="Arial"/>
          <w:b/>
          <w:i/>
        </w:rPr>
      </w:pPr>
    </w:p>
    <w:p w14:paraId="04A04BA8" w14:textId="49AE9014" w:rsidR="00457CF1" w:rsidRPr="002D16BE" w:rsidRDefault="002D16BE" w:rsidP="00457CF1">
      <w:pPr>
        <w:pStyle w:val="ListParagraph"/>
        <w:numPr>
          <w:ilvl w:val="0"/>
          <w:numId w:val="9"/>
        </w:numPr>
        <w:tabs>
          <w:tab w:val="num" w:pos="720"/>
        </w:tabs>
        <w:rPr>
          <w:rFonts w:ascii="Arial" w:hAnsi="Arial" w:cs="Arial"/>
          <w:bCs/>
          <w:iCs/>
          <w:sz w:val="22"/>
          <w:szCs w:val="22"/>
        </w:rPr>
      </w:pPr>
      <w:r w:rsidRPr="002D16BE">
        <w:rPr>
          <w:rFonts w:ascii="Arial" w:hAnsi="Arial" w:cs="Arial"/>
          <w:bCs/>
          <w:iCs/>
          <w:sz w:val="22"/>
          <w:szCs w:val="22"/>
        </w:rPr>
        <w:t xml:space="preserve">Describe the size of the specific Project area </w:t>
      </w:r>
      <w:r w:rsidR="00C50759">
        <w:rPr>
          <w:rFonts w:ascii="Arial" w:hAnsi="Arial" w:cs="Arial"/>
          <w:bCs/>
          <w:iCs/>
          <w:sz w:val="22"/>
          <w:szCs w:val="22"/>
        </w:rPr>
        <w:t>–</w:t>
      </w:r>
      <w:r w:rsidRPr="002D16BE">
        <w:rPr>
          <w:rFonts w:ascii="Arial" w:hAnsi="Arial" w:cs="Arial"/>
          <w:bCs/>
          <w:iCs/>
          <w:sz w:val="22"/>
          <w:szCs w:val="22"/>
        </w:rPr>
        <w:t xml:space="preserve"> Collecting OHV incursions and trespass data is not a Ground Operations activity but a Restoration activity. If awarded, reference to this activity should be removed as instructed in the preliminary comment.</w:t>
      </w:r>
    </w:p>
    <w:p w14:paraId="1C23D2B1" w14:textId="6416980C" w:rsidR="00457CF1" w:rsidRDefault="00457CF1" w:rsidP="001E1516">
      <w:pPr>
        <w:tabs>
          <w:tab w:val="num" w:pos="720"/>
        </w:tabs>
        <w:contextualSpacing/>
        <w:rPr>
          <w:rFonts w:ascii="Arial" w:hAnsi="Arial" w:cs="Arial"/>
          <w:b/>
          <w:i/>
        </w:rPr>
      </w:pPr>
    </w:p>
    <w:p w14:paraId="51D3E7CA" w14:textId="49700BA5" w:rsidR="001B4204" w:rsidRDefault="001B4204" w:rsidP="001E1516">
      <w:pPr>
        <w:tabs>
          <w:tab w:val="num" w:pos="720"/>
        </w:tabs>
        <w:contextualSpacing/>
        <w:rPr>
          <w:rFonts w:ascii="Arial" w:hAnsi="Arial" w:cs="Arial"/>
          <w:b/>
          <w:i/>
        </w:rPr>
      </w:pPr>
    </w:p>
    <w:p w14:paraId="6A7B9BEB" w14:textId="77777777" w:rsidR="001B4204" w:rsidRDefault="001B4204" w:rsidP="001E1516">
      <w:pPr>
        <w:tabs>
          <w:tab w:val="num" w:pos="720"/>
        </w:tabs>
        <w:contextualSpacing/>
        <w:rPr>
          <w:rFonts w:ascii="Arial" w:hAnsi="Arial" w:cs="Arial"/>
          <w:b/>
          <w:i/>
        </w:rPr>
      </w:pPr>
    </w:p>
    <w:p w14:paraId="056E7F6C" w14:textId="77777777" w:rsidR="00457CF1" w:rsidRDefault="00457CF1" w:rsidP="001E1516">
      <w:pPr>
        <w:tabs>
          <w:tab w:val="num" w:pos="720"/>
        </w:tabs>
        <w:contextualSpacing/>
        <w:rPr>
          <w:rFonts w:ascii="Arial" w:hAnsi="Arial" w:cs="Arial"/>
          <w:b/>
          <w:i/>
        </w:rPr>
      </w:pPr>
    </w:p>
    <w:p w14:paraId="02BA8A08" w14:textId="255693BD" w:rsidR="004B66C8" w:rsidRDefault="001E1516" w:rsidP="001E1516">
      <w:pPr>
        <w:tabs>
          <w:tab w:val="num" w:pos="720"/>
        </w:tabs>
        <w:contextualSpacing/>
        <w:rPr>
          <w:rFonts w:ascii="Arial" w:hAnsi="Arial" w:cs="Arial"/>
          <w:b/>
          <w:i/>
        </w:rPr>
      </w:pPr>
      <w:r w:rsidRPr="009460E1">
        <w:rPr>
          <w:rFonts w:ascii="Arial" w:hAnsi="Arial" w:cs="Arial"/>
          <w:b/>
          <w:i/>
        </w:rPr>
        <w:lastRenderedPageBreak/>
        <w:t>Project Cost Estimate</w:t>
      </w:r>
    </w:p>
    <w:p w14:paraId="494DFAAB" w14:textId="77777777" w:rsidR="003676DA" w:rsidRPr="009460E1" w:rsidRDefault="003676DA" w:rsidP="001E1516">
      <w:pPr>
        <w:tabs>
          <w:tab w:val="num" w:pos="720"/>
        </w:tabs>
        <w:contextualSpacing/>
        <w:rPr>
          <w:rFonts w:ascii="Arial" w:hAnsi="Arial" w:cs="Arial"/>
          <w:b/>
          <w:i/>
        </w:rPr>
      </w:pPr>
    </w:p>
    <w:p w14:paraId="4F9660F1" w14:textId="319B8AB0" w:rsidR="008616EC" w:rsidRPr="002D16BE" w:rsidRDefault="002D16BE" w:rsidP="002D16BE">
      <w:pPr>
        <w:numPr>
          <w:ilvl w:val="0"/>
          <w:numId w:val="7"/>
        </w:numPr>
        <w:rPr>
          <w:rFonts w:ascii="Arial" w:hAnsi="Arial" w:cs="Arial"/>
          <w:color w:val="000000" w:themeColor="text1"/>
          <w:sz w:val="22"/>
          <w:szCs w:val="22"/>
        </w:rPr>
      </w:pPr>
      <w:r>
        <w:rPr>
          <w:rFonts w:ascii="Arial" w:hAnsi="Arial" w:cs="Arial"/>
          <w:color w:val="000000" w:themeColor="text1"/>
          <w:sz w:val="22"/>
          <w:szCs w:val="22"/>
        </w:rPr>
        <w:t>No change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0C80A1A" w14:textId="6DDBC408" w:rsidR="00F04D40" w:rsidRDefault="00CD7452" w:rsidP="008616EC">
      <w:pPr>
        <w:numPr>
          <w:ilvl w:val="0"/>
          <w:numId w:val="2"/>
        </w:numPr>
        <w:contextualSpacing/>
        <w:rPr>
          <w:rFonts w:ascii="Arial" w:hAnsi="Arial" w:cs="Arial"/>
          <w:sz w:val="22"/>
          <w:szCs w:val="22"/>
        </w:rPr>
      </w:pPr>
      <w:r w:rsidRPr="00CD7452">
        <w:rPr>
          <w:rFonts w:ascii="Arial" w:hAnsi="Arial" w:cs="Arial"/>
          <w:sz w:val="22"/>
          <w:szCs w:val="22"/>
        </w:rPr>
        <w:t xml:space="preserve">#3 </w:t>
      </w:r>
      <w:r w:rsidR="007C3ABC" w:rsidRPr="007A34A5">
        <w:rPr>
          <w:rFonts w:ascii="Arial" w:hAnsi="Arial" w:cs="Arial"/>
          <w:sz w:val="22"/>
          <w:szCs w:val="22"/>
        </w:rPr>
        <w:t>–</w:t>
      </w:r>
      <w:r w:rsidRPr="00CD7452">
        <w:rPr>
          <w:rFonts w:ascii="Arial" w:hAnsi="Arial" w:cs="Arial"/>
          <w:sz w:val="22"/>
          <w:szCs w:val="22"/>
        </w:rPr>
        <w:t xml:space="preserve"> Project does not support the selections of 'Providing varied levels of riding difficulty'. Project does not have any trail work. Deduct 1 point.</w:t>
      </w:r>
    </w:p>
    <w:p w14:paraId="34039F32" w14:textId="7C854940" w:rsidR="00CD7452" w:rsidRDefault="00CD7452" w:rsidP="008616EC">
      <w:pPr>
        <w:numPr>
          <w:ilvl w:val="0"/>
          <w:numId w:val="2"/>
        </w:numPr>
        <w:contextualSpacing/>
        <w:rPr>
          <w:rFonts w:ascii="Arial" w:hAnsi="Arial" w:cs="Arial"/>
          <w:sz w:val="22"/>
          <w:szCs w:val="22"/>
        </w:rPr>
      </w:pPr>
      <w:r w:rsidRPr="00CD7452">
        <w:rPr>
          <w:rFonts w:ascii="Arial" w:hAnsi="Arial" w:cs="Arial"/>
          <w:sz w:val="22"/>
          <w:szCs w:val="22"/>
        </w:rPr>
        <w:t xml:space="preserve">#6 </w:t>
      </w:r>
      <w:r w:rsidR="007C3ABC" w:rsidRPr="007A34A5">
        <w:rPr>
          <w:rFonts w:ascii="Arial" w:hAnsi="Arial" w:cs="Arial"/>
          <w:sz w:val="22"/>
          <w:szCs w:val="22"/>
        </w:rPr>
        <w:t>–</w:t>
      </w:r>
      <w:r w:rsidRPr="00CD7452">
        <w:rPr>
          <w:rFonts w:ascii="Arial" w:hAnsi="Arial" w:cs="Arial"/>
          <w:sz w:val="22"/>
          <w:szCs w:val="22"/>
        </w:rPr>
        <w:t xml:space="preserve"> Narrative does not support the selection of ''Protecting water quality'' and ''Protecting special status species''.</w:t>
      </w:r>
      <w:r>
        <w:rPr>
          <w:rFonts w:ascii="Arial" w:hAnsi="Arial" w:cs="Arial"/>
          <w:sz w:val="22"/>
          <w:szCs w:val="22"/>
        </w:rPr>
        <w:t xml:space="preserve"> </w:t>
      </w:r>
      <w:r w:rsidRPr="00CD7452">
        <w:rPr>
          <w:rFonts w:ascii="Arial" w:hAnsi="Arial" w:cs="Arial"/>
          <w:sz w:val="22"/>
          <w:szCs w:val="22"/>
        </w:rPr>
        <w:t>The examples stated are not eligible because revegetation of denuded habitat is a Restoration activity and as ''No Ground Disturbing Activities are performed with OHMVRD Funds'' water control structures are outside the scope of this Project, as is maintaining designated routes for special status species protection. Deduct 2 points.</w:t>
      </w:r>
    </w:p>
    <w:p w14:paraId="221D0C56" w14:textId="56E5591F" w:rsidR="00CD7452" w:rsidRPr="00A72250" w:rsidRDefault="00CD7452" w:rsidP="008616EC">
      <w:pPr>
        <w:numPr>
          <w:ilvl w:val="0"/>
          <w:numId w:val="2"/>
        </w:numPr>
        <w:contextualSpacing/>
        <w:rPr>
          <w:rFonts w:ascii="Arial" w:hAnsi="Arial" w:cs="Arial"/>
          <w:sz w:val="22"/>
          <w:szCs w:val="22"/>
        </w:rPr>
      </w:pPr>
      <w:r w:rsidRPr="00CD7452">
        <w:rPr>
          <w:rFonts w:ascii="Arial" w:hAnsi="Arial" w:cs="Arial"/>
          <w:sz w:val="22"/>
          <w:szCs w:val="22"/>
        </w:rPr>
        <w:t xml:space="preserve">#7 </w:t>
      </w:r>
      <w:r w:rsidR="007C3ABC" w:rsidRPr="007A34A5">
        <w:rPr>
          <w:rFonts w:ascii="Arial" w:hAnsi="Arial" w:cs="Arial"/>
          <w:sz w:val="22"/>
          <w:szCs w:val="22"/>
        </w:rPr>
        <w:t>–</w:t>
      </w:r>
      <w:r w:rsidR="007C3ABC">
        <w:rPr>
          <w:rFonts w:ascii="Arial" w:hAnsi="Arial" w:cs="Arial"/>
          <w:sz w:val="22"/>
          <w:szCs w:val="22"/>
        </w:rPr>
        <w:t xml:space="preserve"> </w:t>
      </w:r>
      <w:r w:rsidRPr="00CD7452">
        <w:rPr>
          <w:rFonts w:ascii="Arial" w:hAnsi="Arial" w:cs="Arial"/>
          <w:sz w:val="22"/>
          <w:szCs w:val="22"/>
        </w:rPr>
        <w:t>Project Description and/or Project Cost Estimate sections do not support any selection except 'Paper for trail maps' as the Applicant only mentions they will be used if possible. Deduct 3 points.</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68296A9C"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F956ED">
                              <w:rPr>
                                <w:rFonts w:ascii="Arial" w:hAnsi="Arial" w:cs="Arial"/>
                                <w:b/>
                                <w:color w:val="000000" w:themeColor="text1"/>
                                <w:sz w:val="26"/>
                                <w:szCs w:val="26"/>
                              </w:rPr>
                              <w:t xml:space="preserve"> </w:t>
                            </w:r>
                            <w:r w:rsidR="00C50759">
                              <w:rPr>
                                <w:rFonts w:ascii="Arial" w:hAnsi="Arial" w:cs="Arial"/>
                                <w:b/>
                                <w:color w:val="000000" w:themeColor="text1"/>
                                <w:sz w:val="26"/>
                                <w:szCs w:val="26"/>
                              </w:rPr>
                              <w:t>–</w:t>
                            </w:r>
                            <w:r w:rsidR="00F956ED">
                              <w:rPr>
                                <w:rFonts w:ascii="Arial" w:hAnsi="Arial" w:cs="Arial"/>
                                <w:b/>
                                <w:color w:val="000000" w:themeColor="text1"/>
                                <w:sz w:val="26"/>
                                <w:szCs w:val="26"/>
                              </w:rPr>
                              <w:t xml:space="preserve"> </w:t>
                            </w:r>
                            <w:r w:rsidR="00F956ED" w:rsidRPr="00F956ED">
                              <w:rPr>
                                <w:rFonts w:ascii="Arial" w:hAnsi="Arial" w:cs="Arial"/>
                                <w:b/>
                                <w:color w:val="000000" w:themeColor="text1"/>
                                <w:sz w:val="26"/>
                                <w:szCs w:val="26"/>
                              </w:rPr>
                              <w:t>East Ivanpah Resource Protection</w:t>
                            </w:r>
                            <w:r>
                              <w:rPr>
                                <w:rFonts w:ascii="Arial" w:hAnsi="Arial" w:cs="Arial"/>
                                <w:b/>
                                <w:color w:val="000000" w:themeColor="text1"/>
                                <w:sz w:val="26"/>
                                <w:szCs w:val="26"/>
                              </w:rPr>
                              <w:t xml:space="preserve">, </w:t>
                            </w:r>
                            <w:r w:rsidR="00F956ED" w:rsidRPr="00F956ED">
                              <w:rPr>
                                <w:rFonts w:ascii="Arial" w:hAnsi="Arial" w:cs="Arial"/>
                                <w:b/>
                                <w:color w:val="000000" w:themeColor="text1"/>
                                <w:sz w:val="26"/>
                                <w:szCs w:val="26"/>
                              </w:rPr>
                              <w:t>G21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01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12</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68296A9C"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F956ED">
                        <w:rPr>
                          <w:rFonts w:ascii="Arial" w:hAnsi="Arial" w:cs="Arial"/>
                          <w:b/>
                          <w:color w:val="000000" w:themeColor="text1"/>
                          <w:sz w:val="26"/>
                          <w:szCs w:val="26"/>
                        </w:rPr>
                        <w:t xml:space="preserve"> </w:t>
                      </w:r>
                      <w:r w:rsidR="00C50759">
                        <w:rPr>
                          <w:rFonts w:ascii="Arial" w:hAnsi="Arial" w:cs="Arial"/>
                          <w:b/>
                          <w:color w:val="000000" w:themeColor="text1"/>
                          <w:sz w:val="26"/>
                          <w:szCs w:val="26"/>
                        </w:rPr>
                        <w:t>–</w:t>
                      </w:r>
                      <w:r w:rsidR="00F956ED">
                        <w:rPr>
                          <w:rFonts w:ascii="Arial" w:hAnsi="Arial" w:cs="Arial"/>
                          <w:b/>
                          <w:color w:val="000000" w:themeColor="text1"/>
                          <w:sz w:val="26"/>
                          <w:szCs w:val="26"/>
                        </w:rPr>
                        <w:t xml:space="preserve"> </w:t>
                      </w:r>
                      <w:r w:rsidR="00F956ED" w:rsidRPr="00F956ED">
                        <w:rPr>
                          <w:rFonts w:ascii="Arial" w:hAnsi="Arial" w:cs="Arial"/>
                          <w:b/>
                          <w:color w:val="000000" w:themeColor="text1"/>
                          <w:sz w:val="26"/>
                          <w:szCs w:val="26"/>
                        </w:rPr>
                        <w:t>East Ivanpah Resource Protection</w:t>
                      </w:r>
                      <w:r>
                        <w:rPr>
                          <w:rFonts w:ascii="Arial" w:hAnsi="Arial" w:cs="Arial"/>
                          <w:b/>
                          <w:color w:val="000000" w:themeColor="text1"/>
                          <w:sz w:val="26"/>
                          <w:szCs w:val="26"/>
                        </w:rPr>
                        <w:t xml:space="preserve">, </w:t>
                      </w:r>
                      <w:r w:rsidR="00F956ED" w:rsidRPr="00F956ED">
                        <w:rPr>
                          <w:rFonts w:ascii="Arial" w:hAnsi="Arial" w:cs="Arial"/>
                          <w:b/>
                          <w:color w:val="000000" w:themeColor="text1"/>
                          <w:sz w:val="26"/>
                          <w:szCs w:val="26"/>
                        </w:rPr>
                        <w:t>G21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01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12</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064E5780" w14:textId="77777777" w:rsidR="00457CF1" w:rsidRPr="009460E1" w:rsidRDefault="00457CF1" w:rsidP="00457CF1">
      <w:pPr>
        <w:rPr>
          <w:rFonts w:ascii="Arial" w:hAnsi="Arial" w:cs="Arial"/>
          <w:b/>
          <w:i/>
        </w:rPr>
      </w:pPr>
      <w:r>
        <w:rPr>
          <w:rFonts w:ascii="Arial" w:hAnsi="Arial" w:cs="Arial"/>
          <w:b/>
          <w:i/>
        </w:rPr>
        <w:t>Project Description – Background</w:t>
      </w:r>
    </w:p>
    <w:p w14:paraId="067F6BE5" w14:textId="77777777" w:rsidR="00457CF1" w:rsidRDefault="00457CF1" w:rsidP="00457CF1">
      <w:pPr>
        <w:rPr>
          <w:rFonts w:ascii="Arial" w:hAnsi="Arial" w:cs="Arial"/>
        </w:rPr>
      </w:pPr>
    </w:p>
    <w:p w14:paraId="615AF1FA" w14:textId="316800E5" w:rsidR="00457CF1" w:rsidRPr="009D3797" w:rsidRDefault="009D3797" w:rsidP="009D3797">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7901F017" w14:textId="77777777" w:rsidR="00457CF1" w:rsidRDefault="00457CF1" w:rsidP="00457CF1"/>
    <w:p w14:paraId="5A648E40"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5EB21CAB" w14:textId="77777777" w:rsidR="00457CF1" w:rsidRDefault="00457CF1" w:rsidP="00457CF1">
      <w:pPr>
        <w:tabs>
          <w:tab w:val="num" w:pos="720"/>
        </w:tabs>
        <w:contextualSpacing/>
        <w:rPr>
          <w:rFonts w:ascii="Arial" w:hAnsi="Arial" w:cs="Arial"/>
          <w:b/>
          <w:i/>
        </w:rPr>
      </w:pPr>
    </w:p>
    <w:p w14:paraId="7202A9C7" w14:textId="7705F548" w:rsidR="00457CF1" w:rsidRPr="009D3797" w:rsidRDefault="009D3797" w:rsidP="009D3797">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6B383971" w14:textId="77777777" w:rsidR="00457CF1" w:rsidRDefault="00457CF1" w:rsidP="00457CF1">
      <w:pPr>
        <w:tabs>
          <w:tab w:val="num" w:pos="720"/>
        </w:tabs>
        <w:contextualSpacing/>
        <w:rPr>
          <w:rFonts w:ascii="Arial" w:hAnsi="Arial" w:cs="Arial"/>
          <w:b/>
          <w:i/>
        </w:rPr>
      </w:pPr>
    </w:p>
    <w:p w14:paraId="67009185"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1BDB83B2" w14:textId="77777777" w:rsidR="00457CF1" w:rsidRDefault="00457CF1" w:rsidP="00457CF1">
      <w:pPr>
        <w:tabs>
          <w:tab w:val="num" w:pos="720"/>
        </w:tabs>
        <w:contextualSpacing/>
        <w:rPr>
          <w:rFonts w:ascii="Arial" w:hAnsi="Arial" w:cs="Arial"/>
          <w:b/>
          <w:i/>
        </w:rPr>
      </w:pPr>
    </w:p>
    <w:p w14:paraId="4F57F81D" w14:textId="57A084DA" w:rsidR="00457CF1" w:rsidRPr="009D3797" w:rsidRDefault="009D3797" w:rsidP="009D3797">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7CD65011" w14:textId="77777777" w:rsidR="00457CF1" w:rsidRDefault="00457CF1" w:rsidP="00457CF1">
      <w:pPr>
        <w:tabs>
          <w:tab w:val="num" w:pos="720"/>
        </w:tabs>
        <w:contextualSpacing/>
        <w:rPr>
          <w:rFonts w:ascii="Arial" w:hAnsi="Arial" w:cs="Arial"/>
          <w:b/>
          <w:i/>
        </w:rPr>
      </w:pPr>
    </w:p>
    <w:p w14:paraId="44CA8CB8"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29854217" w14:textId="77777777" w:rsidR="00457CF1" w:rsidRDefault="00457CF1" w:rsidP="00457CF1">
      <w:pPr>
        <w:tabs>
          <w:tab w:val="num" w:pos="720"/>
        </w:tabs>
        <w:contextualSpacing/>
        <w:rPr>
          <w:rFonts w:ascii="Arial" w:hAnsi="Arial" w:cs="Arial"/>
          <w:b/>
          <w:i/>
        </w:rPr>
      </w:pPr>
    </w:p>
    <w:p w14:paraId="78453EA0" w14:textId="57C57415" w:rsidR="00457CF1" w:rsidRPr="009D3797" w:rsidRDefault="009D3797" w:rsidP="009D3797">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4091CD40" w14:textId="77777777" w:rsidR="00457CF1" w:rsidRDefault="00457CF1" w:rsidP="00457CF1">
      <w:pPr>
        <w:tabs>
          <w:tab w:val="num" w:pos="720"/>
        </w:tabs>
        <w:contextualSpacing/>
        <w:rPr>
          <w:rFonts w:ascii="Arial" w:hAnsi="Arial" w:cs="Arial"/>
          <w:b/>
          <w:i/>
        </w:rPr>
      </w:pPr>
    </w:p>
    <w:p w14:paraId="347BE5F8"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10322D25" w14:textId="77777777" w:rsidR="00457CF1" w:rsidRPr="009460E1" w:rsidRDefault="00457CF1" w:rsidP="00457CF1">
      <w:pPr>
        <w:tabs>
          <w:tab w:val="num" w:pos="720"/>
        </w:tabs>
        <w:contextualSpacing/>
        <w:rPr>
          <w:rFonts w:ascii="Arial" w:hAnsi="Arial" w:cs="Arial"/>
          <w:b/>
          <w:i/>
        </w:rPr>
      </w:pPr>
    </w:p>
    <w:p w14:paraId="3AEB1050" w14:textId="1F989E75" w:rsidR="009D3797" w:rsidRPr="00AD1DA9" w:rsidRDefault="009D3797" w:rsidP="00457CF1">
      <w:pPr>
        <w:pStyle w:val="ListParagraph"/>
        <w:numPr>
          <w:ilvl w:val="0"/>
          <w:numId w:val="7"/>
        </w:numPr>
        <w:autoSpaceDE w:val="0"/>
        <w:autoSpaceDN w:val="0"/>
        <w:adjustRightInd w:val="0"/>
        <w:rPr>
          <w:rFonts w:ascii="Arial" w:hAnsi="Arial" w:cs="Arial"/>
          <w:iCs/>
          <w:sz w:val="22"/>
          <w:szCs w:val="22"/>
        </w:rPr>
      </w:pPr>
      <w:r w:rsidRPr="00AD1DA9">
        <w:rPr>
          <w:rFonts w:ascii="Arial" w:hAnsi="Arial" w:cs="Arial"/>
          <w:iCs/>
          <w:sz w:val="22"/>
          <w:szCs w:val="22"/>
        </w:rPr>
        <w:t xml:space="preserve">Contracts # 1 </w:t>
      </w:r>
      <w:r w:rsidR="00647F99">
        <w:rPr>
          <w:rFonts w:ascii="Arial" w:hAnsi="Arial" w:cs="Arial"/>
          <w:iCs/>
          <w:sz w:val="22"/>
          <w:szCs w:val="22"/>
        </w:rPr>
        <w:t>“</w:t>
      </w:r>
      <w:r w:rsidRPr="00AD1DA9">
        <w:rPr>
          <w:rFonts w:ascii="Arial" w:hAnsi="Arial" w:cs="Arial"/>
          <w:iCs/>
          <w:sz w:val="22"/>
          <w:szCs w:val="22"/>
        </w:rPr>
        <w:t>Fencing Contrac</w:t>
      </w:r>
      <w:r w:rsidR="00647F99">
        <w:rPr>
          <w:rFonts w:ascii="Arial" w:hAnsi="Arial" w:cs="Arial"/>
          <w:iCs/>
          <w:sz w:val="22"/>
          <w:szCs w:val="22"/>
        </w:rPr>
        <w:t>t”</w:t>
      </w:r>
      <w:r w:rsidRPr="00AD1DA9">
        <w:rPr>
          <w:rFonts w:ascii="Arial" w:hAnsi="Arial" w:cs="Arial"/>
          <w:iCs/>
          <w:sz w:val="22"/>
          <w:szCs w:val="22"/>
        </w:rPr>
        <w:t xml:space="preserve"> </w:t>
      </w:r>
      <w:r w:rsidR="00C50759">
        <w:rPr>
          <w:rFonts w:ascii="Arial" w:hAnsi="Arial" w:cs="Arial"/>
          <w:iCs/>
          <w:sz w:val="22"/>
          <w:szCs w:val="22"/>
        </w:rPr>
        <w:t>–</w:t>
      </w:r>
      <w:r w:rsidRPr="00AD1DA9">
        <w:rPr>
          <w:rFonts w:ascii="Arial" w:hAnsi="Arial" w:cs="Arial"/>
          <w:iCs/>
          <w:sz w:val="22"/>
          <w:szCs w:val="22"/>
        </w:rPr>
        <w:t xml:space="preserve"> This line item is considered </w:t>
      </w:r>
      <w:r w:rsidR="00C50759">
        <w:rPr>
          <w:rFonts w:ascii="Arial" w:hAnsi="Arial" w:cs="Arial"/>
          <w:iCs/>
          <w:sz w:val="22"/>
          <w:szCs w:val="22"/>
        </w:rPr>
        <w:t>‘</w:t>
      </w:r>
      <w:r w:rsidRPr="00AD1DA9">
        <w:rPr>
          <w:rFonts w:ascii="Arial" w:hAnsi="Arial" w:cs="Arial"/>
          <w:iCs/>
          <w:sz w:val="22"/>
          <w:szCs w:val="22"/>
        </w:rPr>
        <w:t>Contingent</w:t>
      </w:r>
      <w:r w:rsidR="00C50759">
        <w:rPr>
          <w:rFonts w:ascii="Arial" w:hAnsi="Arial" w:cs="Arial"/>
          <w:iCs/>
          <w:sz w:val="22"/>
          <w:szCs w:val="22"/>
        </w:rPr>
        <w:t>’</w:t>
      </w:r>
      <w:r w:rsidRPr="00AD1DA9">
        <w:rPr>
          <w:rFonts w:ascii="Arial" w:hAnsi="Arial" w:cs="Arial"/>
          <w:iCs/>
          <w:sz w:val="22"/>
          <w:szCs w:val="22"/>
        </w:rPr>
        <w:t xml:space="preserve"> until a site visit can be conducted to determine whether specific activities within the contract are eligible. </w:t>
      </w:r>
    </w:p>
    <w:p w14:paraId="753D8F87" w14:textId="652BF0EB" w:rsidR="009D3797" w:rsidRPr="00AD1DA9" w:rsidRDefault="00C50759" w:rsidP="00457CF1">
      <w:pPr>
        <w:pStyle w:val="ListParagraph"/>
        <w:numPr>
          <w:ilvl w:val="0"/>
          <w:numId w:val="7"/>
        </w:numPr>
        <w:autoSpaceDE w:val="0"/>
        <w:autoSpaceDN w:val="0"/>
        <w:adjustRightInd w:val="0"/>
        <w:rPr>
          <w:rFonts w:ascii="Arial" w:hAnsi="Arial" w:cs="Arial"/>
          <w:iCs/>
          <w:sz w:val="22"/>
          <w:szCs w:val="22"/>
        </w:rPr>
      </w:pPr>
      <w:r>
        <w:rPr>
          <w:rFonts w:ascii="Arial" w:hAnsi="Arial" w:cs="Arial"/>
          <w:iCs/>
          <w:sz w:val="22"/>
          <w:szCs w:val="22"/>
        </w:rPr>
        <w:t>Materials / Supplies</w:t>
      </w:r>
      <w:r w:rsidR="009D3797" w:rsidRPr="00AD1DA9">
        <w:rPr>
          <w:rFonts w:ascii="Arial" w:hAnsi="Arial" w:cs="Arial"/>
          <w:iCs/>
          <w:sz w:val="22"/>
          <w:szCs w:val="22"/>
        </w:rPr>
        <w:t xml:space="preserve"> # 1 </w:t>
      </w:r>
      <w:r w:rsidR="00647F99">
        <w:rPr>
          <w:rFonts w:ascii="Arial" w:hAnsi="Arial" w:cs="Arial"/>
          <w:iCs/>
          <w:sz w:val="22"/>
          <w:szCs w:val="22"/>
        </w:rPr>
        <w:t>“</w:t>
      </w:r>
      <w:r w:rsidR="009D3797" w:rsidRPr="00AD1DA9">
        <w:rPr>
          <w:rFonts w:ascii="Arial" w:hAnsi="Arial" w:cs="Arial"/>
          <w:iCs/>
          <w:sz w:val="22"/>
          <w:szCs w:val="22"/>
        </w:rPr>
        <w:t>Regulatory Signs</w:t>
      </w:r>
      <w:r w:rsidR="00647F99">
        <w:rPr>
          <w:rFonts w:ascii="Arial" w:hAnsi="Arial" w:cs="Arial"/>
          <w:iCs/>
          <w:sz w:val="22"/>
          <w:szCs w:val="22"/>
        </w:rPr>
        <w:t>”</w:t>
      </w:r>
      <w:r w:rsidR="009D3797" w:rsidRPr="00AD1DA9">
        <w:rPr>
          <w:rFonts w:ascii="Arial" w:hAnsi="Arial" w:cs="Arial"/>
          <w:iCs/>
          <w:sz w:val="22"/>
          <w:szCs w:val="22"/>
        </w:rPr>
        <w:t xml:space="preserve"> </w:t>
      </w:r>
      <w:r>
        <w:rPr>
          <w:rFonts w:ascii="Arial" w:hAnsi="Arial" w:cs="Arial"/>
          <w:iCs/>
          <w:sz w:val="22"/>
          <w:szCs w:val="22"/>
        </w:rPr>
        <w:t>–</w:t>
      </w:r>
      <w:r w:rsidR="009D3797" w:rsidRPr="00AD1DA9">
        <w:rPr>
          <w:rFonts w:ascii="Arial" w:hAnsi="Arial" w:cs="Arial"/>
          <w:iCs/>
          <w:sz w:val="22"/>
          <w:szCs w:val="22"/>
        </w:rPr>
        <w:t xml:space="preserve"> Applicant lists three types of regulatory signs. This line item is considered </w:t>
      </w:r>
      <w:r>
        <w:rPr>
          <w:rFonts w:ascii="Arial" w:hAnsi="Arial" w:cs="Arial"/>
          <w:iCs/>
          <w:sz w:val="22"/>
          <w:szCs w:val="22"/>
        </w:rPr>
        <w:t>‘</w:t>
      </w:r>
      <w:r w:rsidR="009D3797" w:rsidRPr="00AD1DA9">
        <w:rPr>
          <w:rFonts w:ascii="Arial" w:hAnsi="Arial" w:cs="Arial"/>
          <w:iCs/>
          <w:sz w:val="22"/>
          <w:szCs w:val="22"/>
        </w:rPr>
        <w:t>Contingent' until the Division approves the message of the signs.</w:t>
      </w:r>
    </w:p>
    <w:p w14:paraId="59E983E9" w14:textId="2EBD1A98" w:rsidR="009D3797" w:rsidRPr="00AD1DA9" w:rsidRDefault="00C50759" w:rsidP="00457CF1">
      <w:pPr>
        <w:pStyle w:val="ListParagraph"/>
        <w:numPr>
          <w:ilvl w:val="0"/>
          <w:numId w:val="7"/>
        </w:numPr>
        <w:autoSpaceDE w:val="0"/>
        <w:autoSpaceDN w:val="0"/>
        <w:adjustRightInd w:val="0"/>
        <w:rPr>
          <w:rFonts w:ascii="Arial" w:hAnsi="Arial" w:cs="Arial"/>
          <w:iCs/>
          <w:sz w:val="22"/>
          <w:szCs w:val="22"/>
        </w:rPr>
      </w:pPr>
      <w:r>
        <w:rPr>
          <w:rFonts w:ascii="Arial" w:hAnsi="Arial" w:cs="Arial"/>
          <w:iCs/>
          <w:sz w:val="22"/>
          <w:szCs w:val="22"/>
        </w:rPr>
        <w:lastRenderedPageBreak/>
        <w:t>Materials / Supplies</w:t>
      </w:r>
      <w:r w:rsidR="009D3797" w:rsidRPr="00AD1DA9">
        <w:rPr>
          <w:rFonts w:ascii="Arial" w:hAnsi="Arial" w:cs="Arial"/>
          <w:iCs/>
          <w:sz w:val="22"/>
          <w:szCs w:val="22"/>
        </w:rPr>
        <w:t xml:space="preserve"> # 2 </w:t>
      </w:r>
      <w:r w:rsidR="00647F99">
        <w:rPr>
          <w:rFonts w:ascii="Arial" w:hAnsi="Arial" w:cs="Arial"/>
          <w:iCs/>
          <w:sz w:val="22"/>
          <w:szCs w:val="22"/>
        </w:rPr>
        <w:t>“</w:t>
      </w:r>
      <w:r w:rsidR="009D3797" w:rsidRPr="00AD1DA9">
        <w:rPr>
          <w:rFonts w:ascii="Arial" w:hAnsi="Arial" w:cs="Arial"/>
          <w:iCs/>
          <w:sz w:val="22"/>
          <w:szCs w:val="22"/>
        </w:rPr>
        <w:t>Miscellaneous Sign Materials, Stickers</w:t>
      </w:r>
      <w:r w:rsidR="00647F99">
        <w:rPr>
          <w:rFonts w:ascii="Arial" w:hAnsi="Arial" w:cs="Arial"/>
          <w:iCs/>
          <w:sz w:val="22"/>
          <w:szCs w:val="22"/>
        </w:rPr>
        <w:t>”</w:t>
      </w:r>
      <w:r w:rsidR="009D3797" w:rsidRPr="00AD1DA9">
        <w:rPr>
          <w:rFonts w:ascii="Arial" w:hAnsi="Arial" w:cs="Arial"/>
          <w:iCs/>
          <w:sz w:val="22"/>
          <w:szCs w:val="22"/>
        </w:rPr>
        <w:t xml:space="preserve"> </w:t>
      </w:r>
      <w:r>
        <w:rPr>
          <w:rFonts w:ascii="Arial" w:hAnsi="Arial" w:cs="Arial"/>
          <w:iCs/>
          <w:sz w:val="22"/>
          <w:szCs w:val="22"/>
        </w:rPr>
        <w:t>–</w:t>
      </w:r>
      <w:r w:rsidR="009D3797" w:rsidRPr="00AD1DA9">
        <w:rPr>
          <w:rFonts w:ascii="Arial" w:hAnsi="Arial" w:cs="Arial"/>
          <w:iCs/>
          <w:sz w:val="22"/>
          <w:szCs w:val="22"/>
        </w:rPr>
        <w:t xml:space="preserve"> This line item is considered </w:t>
      </w:r>
      <w:r>
        <w:rPr>
          <w:rFonts w:ascii="Arial" w:hAnsi="Arial" w:cs="Arial"/>
          <w:iCs/>
          <w:sz w:val="22"/>
          <w:szCs w:val="22"/>
        </w:rPr>
        <w:t>‘</w:t>
      </w:r>
      <w:r w:rsidR="009D3797" w:rsidRPr="00AD1DA9">
        <w:rPr>
          <w:rFonts w:ascii="Arial" w:hAnsi="Arial" w:cs="Arial"/>
          <w:iCs/>
          <w:sz w:val="22"/>
          <w:szCs w:val="22"/>
        </w:rPr>
        <w:t>Contingent' until the Division approves the message of the stickers.</w:t>
      </w:r>
    </w:p>
    <w:p w14:paraId="4730FEC3" w14:textId="1BCE9552" w:rsidR="009D3797" w:rsidRPr="00AD1DA9" w:rsidRDefault="00C50759" w:rsidP="00457CF1">
      <w:pPr>
        <w:pStyle w:val="ListParagraph"/>
        <w:numPr>
          <w:ilvl w:val="0"/>
          <w:numId w:val="7"/>
        </w:numPr>
        <w:autoSpaceDE w:val="0"/>
        <w:autoSpaceDN w:val="0"/>
        <w:adjustRightInd w:val="0"/>
        <w:rPr>
          <w:rFonts w:ascii="Arial" w:hAnsi="Arial" w:cs="Arial"/>
          <w:iCs/>
          <w:sz w:val="22"/>
          <w:szCs w:val="22"/>
        </w:rPr>
      </w:pPr>
      <w:r>
        <w:rPr>
          <w:rFonts w:ascii="Arial" w:hAnsi="Arial" w:cs="Arial"/>
          <w:iCs/>
          <w:sz w:val="22"/>
          <w:szCs w:val="22"/>
        </w:rPr>
        <w:t>Materials / Supplies</w:t>
      </w:r>
      <w:r w:rsidR="009D3797" w:rsidRPr="00AD1DA9">
        <w:rPr>
          <w:rFonts w:ascii="Arial" w:hAnsi="Arial" w:cs="Arial"/>
          <w:iCs/>
          <w:sz w:val="22"/>
          <w:szCs w:val="22"/>
        </w:rPr>
        <w:t xml:space="preserve"> # 4 </w:t>
      </w:r>
      <w:r w:rsidR="00647F99">
        <w:rPr>
          <w:rFonts w:ascii="Arial" w:hAnsi="Arial" w:cs="Arial"/>
          <w:iCs/>
          <w:sz w:val="22"/>
          <w:szCs w:val="22"/>
        </w:rPr>
        <w:t>“</w:t>
      </w:r>
      <w:r w:rsidR="009D3797" w:rsidRPr="00AD1DA9">
        <w:rPr>
          <w:rFonts w:ascii="Arial" w:hAnsi="Arial" w:cs="Arial"/>
          <w:iCs/>
          <w:sz w:val="22"/>
          <w:szCs w:val="22"/>
        </w:rPr>
        <w:t>TRAFx Counters</w:t>
      </w:r>
      <w:r w:rsidR="00647F99">
        <w:rPr>
          <w:rFonts w:ascii="Arial" w:hAnsi="Arial" w:cs="Arial"/>
          <w:iCs/>
          <w:sz w:val="22"/>
          <w:szCs w:val="22"/>
        </w:rPr>
        <w:t>”</w:t>
      </w:r>
      <w:r w:rsidR="009D3797" w:rsidRPr="00AD1DA9">
        <w:rPr>
          <w:rFonts w:ascii="Arial" w:hAnsi="Arial" w:cs="Arial"/>
          <w:iCs/>
          <w:sz w:val="22"/>
          <w:szCs w:val="22"/>
        </w:rPr>
        <w:t xml:space="preserve"> </w:t>
      </w:r>
      <w:r>
        <w:rPr>
          <w:rFonts w:ascii="Arial" w:hAnsi="Arial" w:cs="Arial"/>
          <w:iCs/>
          <w:sz w:val="22"/>
          <w:szCs w:val="22"/>
        </w:rPr>
        <w:t>–</w:t>
      </w:r>
      <w:r w:rsidR="009D3797" w:rsidRPr="00AD1DA9">
        <w:rPr>
          <w:rFonts w:ascii="Arial" w:hAnsi="Arial" w:cs="Arial"/>
          <w:iCs/>
          <w:sz w:val="22"/>
          <w:szCs w:val="22"/>
        </w:rPr>
        <w:t xml:space="preserve"> It is unclear how TRAFx counters are related to a Restoration Project.  Line item is deleted. Deduct $3,500 </w:t>
      </w:r>
      <w:r>
        <w:rPr>
          <w:rFonts w:ascii="Arial" w:hAnsi="Arial" w:cs="Arial"/>
          <w:iCs/>
          <w:sz w:val="22"/>
          <w:szCs w:val="22"/>
        </w:rPr>
        <w:t>Grant</w:t>
      </w:r>
      <w:r w:rsidR="009D3797" w:rsidRPr="00AD1DA9">
        <w:rPr>
          <w:rFonts w:ascii="Arial" w:hAnsi="Arial" w:cs="Arial"/>
          <w:iCs/>
          <w:sz w:val="22"/>
          <w:szCs w:val="22"/>
        </w:rPr>
        <w:t>.</w:t>
      </w:r>
    </w:p>
    <w:p w14:paraId="4AAE81AB" w14:textId="4575A46E" w:rsidR="009D3797" w:rsidRPr="00AD1DA9" w:rsidRDefault="009D3797" w:rsidP="00457CF1">
      <w:pPr>
        <w:pStyle w:val="ListParagraph"/>
        <w:numPr>
          <w:ilvl w:val="0"/>
          <w:numId w:val="7"/>
        </w:numPr>
        <w:autoSpaceDE w:val="0"/>
        <w:autoSpaceDN w:val="0"/>
        <w:adjustRightInd w:val="0"/>
        <w:rPr>
          <w:rFonts w:ascii="Arial" w:hAnsi="Arial" w:cs="Arial"/>
          <w:iCs/>
          <w:sz w:val="22"/>
          <w:szCs w:val="22"/>
        </w:rPr>
      </w:pPr>
      <w:r w:rsidRPr="00AD1DA9">
        <w:rPr>
          <w:rFonts w:ascii="Arial" w:hAnsi="Arial" w:cs="Arial"/>
          <w:iCs/>
          <w:sz w:val="22"/>
          <w:szCs w:val="22"/>
        </w:rPr>
        <w:t xml:space="preserve">Indirect Costs </w:t>
      </w:r>
      <w:r w:rsidR="00C50759">
        <w:rPr>
          <w:rFonts w:ascii="Arial" w:hAnsi="Arial" w:cs="Arial"/>
          <w:iCs/>
          <w:sz w:val="22"/>
          <w:szCs w:val="22"/>
        </w:rPr>
        <w:t>–</w:t>
      </w:r>
      <w:r w:rsidRPr="00AD1DA9">
        <w:rPr>
          <w:rFonts w:ascii="Arial" w:hAnsi="Arial" w:cs="Arial"/>
          <w:iCs/>
          <w:sz w:val="22"/>
          <w:szCs w:val="22"/>
        </w:rPr>
        <w:t xml:space="preserve"> Applicant has now exceeded the 15% maximum allowable. Deduct $525 indirect match. </w:t>
      </w:r>
    </w:p>
    <w:p w14:paraId="52102355" w14:textId="77777777" w:rsidR="009D3797" w:rsidRDefault="009D3797" w:rsidP="009D3797">
      <w:pPr>
        <w:autoSpaceDE w:val="0"/>
        <w:autoSpaceDN w:val="0"/>
        <w:adjustRightInd w:val="0"/>
        <w:rPr>
          <w:rFonts w:ascii="Arial" w:hAnsi="Arial" w:cs="Arial"/>
          <w:iCs/>
          <w:sz w:val="22"/>
          <w:szCs w:val="22"/>
        </w:rPr>
      </w:pPr>
    </w:p>
    <w:p w14:paraId="3892F6FA" w14:textId="77777777" w:rsidR="009D3797" w:rsidRPr="009D3797" w:rsidRDefault="009D3797" w:rsidP="00D0286A">
      <w:pPr>
        <w:autoSpaceDE w:val="0"/>
        <w:autoSpaceDN w:val="0"/>
        <w:adjustRightInd w:val="0"/>
        <w:ind w:firstLine="720"/>
        <w:rPr>
          <w:rFonts w:ascii="Arial" w:hAnsi="Arial" w:cs="Arial"/>
          <w:iCs/>
          <w:sz w:val="22"/>
          <w:szCs w:val="22"/>
          <w:u w:val="single"/>
        </w:rPr>
      </w:pPr>
      <w:r w:rsidRPr="009D3797">
        <w:rPr>
          <w:rFonts w:ascii="Arial" w:hAnsi="Arial" w:cs="Arial"/>
          <w:iCs/>
          <w:sz w:val="22"/>
          <w:szCs w:val="22"/>
          <w:u w:val="single"/>
        </w:rPr>
        <w:t xml:space="preserve">Revised Totals: </w:t>
      </w:r>
    </w:p>
    <w:p w14:paraId="692BDC9E" w14:textId="7D2202C7" w:rsidR="009D3797" w:rsidRDefault="00C50759" w:rsidP="00D0286A">
      <w:pPr>
        <w:autoSpaceDE w:val="0"/>
        <w:autoSpaceDN w:val="0"/>
        <w:adjustRightInd w:val="0"/>
        <w:ind w:firstLine="720"/>
        <w:rPr>
          <w:rFonts w:ascii="Arial" w:hAnsi="Arial" w:cs="Arial"/>
          <w:iCs/>
          <w:sz w:val="22"/>
          <w:szCs w:val="22"/>
        </w:rPr>
      </w:pPr>
      <w:r>
        <w:rPr>
          <w:rFonts w:ascii="Arial" w:hAnsi="Arial" w:cs="Arial"/>
          <w:iCs/>
          <w:sz w:val="22"/>
          <w:szCs w:val="22"/>
        </w:rPr>
        <w:t>Grant</w:t>
      </w:r>
      <w:r w:rsidR="009D3797" w:rsidRPr="009D3797">
        <w:rPr>
          <w:rFonts w:ascii="Arial" w:hAnsi="Arial" w:cs="Arial"/>
          <w:iCs/>
          <w:sz w:val="22"/>
          <w:szCs w:val="22"/>
        </w:rPr>
        <w:t xml:space="preserve"> Request: $856,160</w:t>
      </w:r>
    </w:p>
    <w:p w14:paraId="7DDEAA35" w14:textId="77777777" w:rsidR="009D3797" w:rsidRDefault="009D3797" w:rsidP="00D0286A">
      <w:pPr>
        <w:autoSpaceDE w:val="0"/>
        <w:autoSpaceDN w:val="0"/>
        <w:adjustRightInd w:val="0"/>
        <w:ind w:firstLine="720"/>
        <w:rPr>
          <w:rFonts w:ascii="Arial" w:hAnsi="Arial" w:cs="Arial"/>
          <w:iCs/>
          <w:sz w:val="22"/>
          <w:szCs w:val="22"/>
        </w:rPr>
      </w:pPr>
      <w:r w:rsidRPr="009D3797">
        <w:rPr>
          <w:rFonts w:ascii="Arial" w:hAnsi="Arial" w:cs="Arial"/>
          <w:iCs/>
          <w:sz w:val="22"/>
          <w:szCs w:val="22"/>
        </w:rPr>
        <w:t>Match Request: $132,932</w:t>
      </w:r>
    </w:p>
    <w:p w14:paraId="6FFA93F1" w14:textId="0F56F382" w:rsidR="00457CF1" w:rsidRPr="009D3797" w:rsidRDefault="009D3797" w:rsidP="00D0286A">
      <w:pPr>
        <w:autoSpaceDE w:val="0"/>
        <w:autoSpaceDN w:val="0"/>
        <w:adjustRightInd w:val="0"/>
        <w:ind w:firstLine="720"/>
        <w:rPr>
          <w:rFonts w:ascii="Arial" w:hAnsi="Arial" w:cs="Arial"/>
          <w:iCs/>
          <w:sz w:val="22"/>
          <w:szCs w:val="22"/>
        </w:rPr>
      </w:pPr>
      <w:r w:rsidRPr="009D3797">
        <w:rPr>
          <w:rFonts w:ascii="Arial" w:hAnsi="Arial" w:cs="Arial"/>
          <w:iCs/>
          <w:sz w:val="22"/>
          <w:szCs w:val="22"/>
        </w:rPr>
        <w:t>Total Project Cost:</w:t>
      </w:r>
      <w:r>
        <w:rPr>
          <w:rFonts w:ascii="Arial" w:hAnsi="Arial" w:cs="Arial"/>
          <w:iCs/>
          <w:sz w:val="22"/>
          <w:szCs w:val="22"/>
        </w:rPr>
        <w:t xml:space="preserve"> </w:t>
      </w:r>
      <w:r w:rsidRPr="009D3797">
        <w:rPr>
          <w:rFonts w:ascii="Arial" w:hAnsi="Arial" w:cs="Arial"/>
          <w:iCs/>
          <w:sz w:val="22"/>
          <w:szCs w:val="22"/>
        </w:rPr>
        <w:t>$989,092</w:t>
      </w:r>
    </w:p>
    <w:p w14:paraId="7B0A8AE5"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
    <w:p w14:paraId="5E7F6741" w14:textId="77777777" w:rsidR="00457CF1" w:rsidRPr="009460E1" w:rsidRDefault="00457CF1" w:rsidP="00457CF1">
      <w:pPr>
        <w:tabs>
          <w:tab w:val="num" w:pos="720"/>
        </w:tabs>
        <w:contextualSpacing/>
        <w:rPr>
          <w:rFonts w:ascii="Arial" w:hAnsi="Arial" w:cs="Arial"/>
          <w:b/>
          <w:i/>
        </w:rPr>
      </w:pPr>
      <w:r w:rsidRPr="009460E1">
        <w:rPr>
          <w:rFonts w:ascii="Arial" w:hAnsi="Arial" w:cs="Arial"/>
          <w:b/>
          <w:i/>
        </w:rPr>
        <w:t>Evaluation Criteria</w:t>
      </w:r>
    </w:p>
    <w:p w14:paraId="58A91063" w14:textId="77777777" w:rsidR="00457CF1" w:rsidRDefault="00457CF1" w:rsidP="00457CF1">
      <w:pPr>
        <w:tabs>
          <w:tab w:val="num" w:pos="720"/>
        </w:tabs>
        <w:contextualSpacing/>
        <w:rPr>
          <w:rFonts w:ascii="Arial" w:hAnsi="Arial" w:cs="Arial"/>
          <w:sz w:val="22"/>
          <w:szCs w:val="22"/>
        </w:rPr>
      </w:pPr>
    </w:p>
    <w:p w14:paraId="63B4919A" w14:textId="5E0DC98F" w:rsidR="00AD1DA9" w:rsidRDefault="00AD1DA9" w:rsidP="00457CF1">
      <w:pPr>
        <w:numPr>
          <w:ilvl w:val="0"/>
          <w:numId w:val="2"/>
        </w:numPr>
        <w:contextualSpacing/>
        <w:rPr>
          <w:rFonts w:ascii="Arial" w:hAnsi="Arial" w:cs="Arial"/>
          <w:sz w:val="22"/>
          <w:szCs w:val="22"/>
        </w:rPr>
      </w:pPr>
      <w:r w:rsidRPr="00AD1DA9">
        <w:rPr>
          <w:rFonts w:ascii="Arial" w:hAnsi="Arial" w:cs="Arial"/>
          <w:sz w:val="22"/>
          <w:szCs w:val="22"/>
        </w:rPr>
        <w:t xml:space="preserve">#3 </w:t>
      </w:r>
      <w:r w:rsidR="007C3ABC" w:rsidRPr="007A34A5">
        <w:rPr>
          <w:rFonts w:ascii="Arial" w:hAnsi="Arial" w:cs="Arial"/>
          <w:sz w:val="22"/>
          <w:szCs w:val="22"/>
        </w:rPr>
        <w:t>–</w:t>
      </w:r>
      <w:r w:rsidR="007C3ABC">
        <w:rPr>
          <w:rFonts w:ascii="Arial" w:hAnsi="Arial" w:cs="Arial"/>
          <w:sz w:val="22"/>
          <w:szCs w:val="22"/>
        </w:rPr>
        <w:t xml:space="preserve"> </w:t>
      </w:r>
      <w:r w:rsidRPr="00AD1DA9">
        <w:rPr>
          <w:rFonts w:ascii="Arial" w:hAnsi="Arial" w:cs="Arial"/>
          <w:sz w:val="22"/>
          <w:szCs w:val="22"/>
        </w:rPr>
        <w:t>Applicant did not provide a name and date of an official reference document that supports this Project. Correspondence and an incident report listed by the Applicant would not be considered a viable reference document that supports this Project. Deduct 3 points.</w:t>
      </w:r>
    </w:p>
    <w:p w14:paraId="797FBF0B" w14:textId="5396DC94" w:rsidR="00AD1DA9" w:rsidRDefault="00AD1DA9" w:rsidP="00457CF1">
      <w:pPr>
        <w:numPr>
          <w:ilvl w:val="0"/>
          <w:numId w:val="2"/>
        </w:numPr>
        <w:contextualSpacing/>
        <w:rPr>
          <w:rFonts w:ascii="Arial" w:hAnsi="Arial" w:cs="Arial"/>
          <w:sz w:val="22"/>
          <w:szCs w:val="22"/>
        </w:rPr>
      </w:pPr>
      <w:r w:rsidRPr="00AD1DA9">
        <w:rPr>
          <w:rFonts w:ascii="Arial" w:hAnsi="Arial" w:cs="Arial"/>
          <w:sz w:val="22"/>
          <w:szCs w:val="22"/>
        </w:rPr>
        <w:t>#4</w:t>
      </w:r>
      <w:r w:rsidR="007C3ABC">
        <w:rPr>
          <w:rFonts w:ascii="Arial" w:hAnsi="Arial" w:cs="Arial"/>
          <w:sz w:val="22"/>
          <w:szCs w:val="22"/>
        </w:rPr>
        <w:t xml:space="preserve"> </w:t>
      </w:r>
      <w:r w:rsidR="007C3ABC" w:rsidRPr="007A34A5">
        <w:rPr>
          <w:rFonts w:ascii="Arial" w:hAnsi="Arial" w:cs="Arial"/>
          <w:sz w:val="22"/>
          <w:szCs w:val="22"/>
        </w:rPr>
        <w:t>–</w:t>
      </w:r>
      <w:r w:rsidR="007C3ABC">
        <w:rPr>
          <w:rFonts w:ascii="Arial" w:hAnsi="Arial" w:cs="Arial"/>
          <w:sz w:val="22"/>
          <w:szCs w:val="22"/>
        </w:rPr>
        <w:t xml:space="preserve"> </w:t>
      </w:r>
      <w:r w:rsidRPr="00AD1DA9">
        <w:rPr>
          <w:rFonts w:ascii="Arial" w:hAnsi="Arial" w:cs="Arial"/>
          <w:sz w:val="22"/>
          <w:szCs w:val="22"/>
        </w:rPr>
        <w:t>Narrative does not support the selections of 'Incorporation of universally recognized ''Best Management Practices''.  Deduct 2 points</w:t>
      </w:r>
    </w:p>
    <w:p w14:paraId="340C09A2" w14:textId="2E1EB4DA" w:rsidR="00AD1DA9" w:rsidRPr="00457CF1" w:rsidRDefault="00AD1DA9" w:rsidP="00457CF1">
      <w:pPr>
        <w:numPr>
          <w:ilvl w:val="0"/>
          <w:numId w:val="2"/>
        </w:numPr>
        <w:contextualSpacing/>
        <w:rPr>
          <w:rFonts w:ascii="Arial" w:hAnsi="Arial" w:cs="Arial"/>
          <w:sz w:val="22"/>
          <w:szCs w:val="22"/>
        </w:rPr>
      </w:pPr>
      <w:r w:rsidRPr="00AD1DA9">
        <w:rPr>
          <w:rFonts w:ascii="Arial" w:hAnsi="Arial" w:cs="Arial"/>
          <w:sz w:val="22"/>
          <w:szCs w:val="22"/>
        </w:rPr>
        <w:t>#6</w:t>
      </w:r>
      <w:r w:rsidR="007C3ABC">
        <w:rPr>
          <w:rFonts w:ascii="Arial" w:hAnsi="Arial" w:cs="Arial"/>
          <w:sz w:val="22"/>
          <w:szCs w:val="22"/>
        </w:rPr>
        <w:t xml:space="preserve"> </w:t>
      </w:r>
      <w:r w:rsidR="007C3ABC" w:rsidRPr="007A34A5">
        <w:rPr>
          <w:rFonts w:ascii="Arial" w:hAnsi="Arial" w:cs="Arial"/>
          <w:sz w:val="22"/>
          <w:szCs w:val="22"/>
        </w:rPr>
        <w:t>–</w:t>
      </w:r>
      <w:r w:rsidR="007C3ABC">
        <w:rPr>
          <w:rFonts w:ascii="Arial" w:hAnsi="Arial" w:cs="Arial"/>
          <w:sz w:val="22"/>
          <w:szCs w:val="22"/>
        </w:rPr>
        <w:t xml:space="preserve"> </w:t>
      </w:r>
      <w:r w:rsidRPr="00AD1DA9">
        <w:rPr>
          <w:rFonts w:ascii="Arial" w:hAnsi="Arial" w:cs="Arial"/>
          <w:sz w:val="22"/>
          <w:szCs w:val="22"/>
        </w:rPr>
        <w:t xml:space="preserve">Applicant regularly applies for OHV Trust fund </w:t>
      </w:r>
      <w:r w:rsidR="00C50759">
        <w:rPr>
          <w:rFonts w:ascii="Arial" w:hAnsi="Arial" w:cs="Arial"/>
          <w:sz w:val="22"/>
          <w:szCs w:val="22"/>
        </w:rPr>
        <w:t>Grant</w:t>
      </w:r>
      <w:r w:rsidRPr="00AD1DA9">
        <w:rPr>
          <w:rFonts w:ascii="Arial" w:hAnsi="Arial" w:cs="Arial"/>
          <w:sz w:val="22"/>
          <w:szCs w:val="22"/>
        </w:rPr>
        <w:t>s for Restoration projects. Deduct 2 points.</w:t>
      </w:r>
    </w:p>
    <w:p w14:paraId="0AC0542D" w14:textId="77777777" w:rsidR="009460E1" w:rsidRDefault="009460E1" w:rsidP="001E1516">
      <w:pPr>
        <w:tabs>
          <w:tab w:val="num" w:pos="720"/>
        </w:tabs>
        <w:contextualSpacing/>
        <w:rPr>
          <w:rFonts w:ascii="Arial" w:hAnsi="Arial" w:cs="Arial"/>
          <w:sz w:val="22"/>
          <w:szCs w:val="22"/>
        </w:rPr>
      </w:pPr>
    </w:p>
    <w:p w14:paraId="0F69FA8C" w14:textId="77777777" w:rsidR="00F04D40" w:rsidRDefault="00F04D40"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7B4C1FF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F956ED">
                              <w:rPr>
                                <w:rFonts w:ascii="Arial" w:hAnsi="Arial" w:cs="Arial"/>
                                <w:b/>
                                <w:color w:val="000000" w:themeColor="text1"/>
                                <w:sz w:val="26"/>
                                <w:szCs w:val="26"/>
                              </w:rPr>
                              <w:t xml:space="preserve"> </w:t>
                            </w:r>
                            <w:r w:rsidR="00C50759">
                              <w:rPr>
                                <w:rFonts w:ascii="Arial" w:hAnsi="Arial" w:cs="Arial"/>
                                <w:b/>
                                <w:color w:val="000000" w:themeColor="text1"/>
                                <w:sz w:val="26"/>
                                <w:szCs w:val="26"/>
                              </w:rPr>
                              <w:t>–</w:t>
                            </w:r>
                            <w:r w:rsidR="00F956ED">
                              <w:rPr>
                                <w:rFonts w:ascii="Arial" w:hAnsi="Arial" w:cs="Arial"/>
                                <w:b/>
                                <w:color w:val="000000" w:themeColor="text1"/>
                                <w:sz w:val="26"/>
                                <w:szCs w:val="26"/>
                              </w:rPr>
                              <w:t xml:space="preserve"> </w:t>
                            </w:r>
                            <w:r w:rsidR="00F956ED" w:rsidRPr="00F956ED">
                              <w:rPr>
                                <w:rFonts w:ascii="Arial" w:hAnsi="Arial" w:cs="Arial"/>
                                <w:b/>
                                <w:color w:val="000000" w:themeColor="text1"/>
                                <w:sz w:val="26"/>
                                <w:szCs w:val="26"/>
                              </w:rPr>
                              <w:t>OHV Education Outreach</w:t>
                            </w:r>
                            <w:r>
                              <w:rPr>
                                <w:rFonts w:ascii="Arial" w:hAnsi="Arial" w:cs="Arial"/>
                                <w:b/>
                                <w:color w:val="000000" w:themeColor="text1"/>
                                <w:sz w:val="26"/>
                                <w:szCs w:val="26"/>
                              </w:rPr>
                              <w:t xml:space="preserve">, </w:t>
                            </w:r>
                            <w:r w:rsidR="00F956ED" w:rsidRPr="00F956ED">
                              <w:rPr>
                                <w:rFonts w:ascii="Arial" w:hAnsi="Arial" w:cs="Arial"/>
                                <w:b/>
                                <w:color w:val="000000" w:themeColor="text1"/>
                                <w:sz w:val="26"/>
                                <w:szCs w:val="26"/>
                              </w:rPr>
                              <w:t>G21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01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12</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z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tmuh1ChZmPIFnQydIHUib/mVREO5&#10;Zj7cMYeejh6EORVu8amUwc2ZdkVJbdzPt+RRH60Wp5SsMSMK6n+smEPDUV81OsrJaDKJQyVtJtOj&#10;MTZu92Sxe6JXzYWJTMREtDwto35Q3bJypnnCODuPUXHENEdscDq4bnMRsMcRBiIX5+dpjUECEl/r&#10;B8u73hcb5uPmiTnbdtWAfnxjunnCZq+aa9aNN6TN+SqYSqbOu8W1vQEMoUSldmDGKbe7T1rbsT7/&#10;BQ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Hbvhcz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7B4C1FF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F956ED">
                        <w:rPr>
                          <w:rFonts w:ascii="Arial" w:hAnsi="Arial" w:cs="Arial"/>
                          <w:b/>
                          <w:color w:val="000000" w:themeColor="text1"/>
                          <w:sz w:val="26"/>
                          <w:szCs w:val="26"/>
                        </w:rPr>
                        <w:t xml:space="preserve"> </w:t>
                      </w:r>
                      <w:r w:rsidR="00C50759">
                        <w:rPr>
                          <w:rFonts w:ascii="Arial" w:hAnsi="Arial" w:cs="Arial"/>
                          <w:b/>
                          <w:color w:val="000000" w:themeColor="text1"/>
                          <w:sz w:val="26"/>
                          <w:szCs w:val="26"/>
                        </w:rPr>
                        <w:t>–</w:t>
                      </w:r>
                      <w:r w:rsidR="00F956ED">
                        <w:rPr>
                          <w:rFonts w:ascii="Arial" w:hAnsi="Arial" w:cs="Arial"/>
                          <w:b/>
                          <w:color w:val="000000" w:themeColor="text1"/>
                          <w:sz w:val="26"/>
                          <w:szCs w:val="26"/>
                        </w:rPr>
                        <w:t xml:space="preserve"> </w:t>
                      </w:r>
                      <w:r w:rsidR="00F956ED" w:rsidRPr="00F956ED">
                        <w:rPr>
                          <w:rFonts w:ascii="Arial" w:hAnsi="Arial" w:cs="Arial"/>
                          <w:b/>
                          <w:color w:val="000000" w:themeColor="text1"/>
                          <w:sz w:val="26"/>
                          <w:szCs w:val="26"/>
                        </w:rPr>
                        <w:t>OHV Education Outreach</w:t>
                      </w:r>
                      <w:r>
                        <w:rPr>
                          <w:rFonts w:ascii="Arial" w:hAnsi="Arial" w:cs="Arial"/>
                          <w:b/>
                          <w:color w:val="000000" w:themeColor="text1"/>
                          <w:sz w:val="26"/>
                          <w:szCs w:val="26"/>
                        </w:rPr>
                        <w:t xml:space="preserve">, </w:t>
                      </w:r>
                      <w:r w:rsidR="00F956ED" w:rsidRPr="00F956ED">
                        <w:rPr>
                          <w:rFonts w:ascii="Arial" w:hAnsi="Arial" w:cs="Arial"/>
                          <w:b/>
                          <w:color w:val="000000" w:themeColor="text1"/>
                          <w:sz w:val="26"/>
                          <w:szCs w:val="26"/>
                        </w:rPr>
                        <w:t>G21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01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12</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5A7B2CF6" w14:textId="77777777" w:rsidR="00457CF1" w:rsidRPr="009460E1" w:rsidRDefault="00457CF1" w:rsidP="00457CF1">
      <w:pPr>
        <w:rPr>
          <w:rFonts w:ascii="Arial" w:hAnsi="Arial" w:cs="Arial"/>
          <w:b/>
          <w:i/>
        </w:rPr>
      </w:pPr>
      <w:r>
        <w:rPr>
          <w:rFonts w:ascii="Arial" w:hAnsi="Arial" w:cs="Arial"/>
          <w:b/>
          <w:i/>
        </w:rPr>
        <w:t>Project Description – Background</w:t>
      </w:r>
    </w:p>
    <w:p w14:paraId="4278B23B" w14:textId="77777777" w:rsidR="00457CF1" w:rsidRDefault="00457CF1" w:rsidP="00457CF1">
      <w:pPr>
        <w:rPr>
          <w:rFonts w:ascii="Arial" w:hAnsi="Arial" w:cs="Arial"/>
        </w:rPr>
      </w:pPr>
    </w:p>
    <w:p w14:paraId="6895C7A1" w14:textId="77777777" w:rsidR="00A6778D" w:rsidRPr="00AD1DA9" w:rsidRDefault="00A6778D" w:rsidP="00A6778D">
      <w:pPr>
        <w:pStyle w:val="ListParagraph"/>
        <w:numPr>
          <w:ilvl w:val="0"/>
          <w:numId w:val="9"/>
        </w:numPr>
        <w:tabs>
          <w:tab w:val="num" w:pos="720"/>
        </w:tabs>
        <w:rPr>
          <w:rFonts w:ascii="Arial" w:hAnsi="Arial" w:cs="Arial"/>
          <w:bCs/>
          <w:iCs/>
          <w:sz w:val="22"/>
          <w:szCs w:val="22"/>
        </w:rPr>
      </w:pPr>
      <w:r w:rsidRPr="00AD1DA9">
        <w:rPr>
          <w:rFonts w:ascii="Arial" w:hAnsi="Arial" w:cs="Arial"/>
          <w:bCs/>
          <w:iCs/>
          <w:sz w:val="22"/>
          <w:szCs w:val="22"/>
        </w:rPr>
        <w:t>No change</w:t>
      </w:r>
    </w:p>
    <w:p w14:paraId="46DF01E9" w14:textId="77777777" w:rsidR="00457CF1" w:rsidRDefault="00457CF1" w:rsidP="00457CF1"/>
    <w:p w14:paraId="745910FF"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17EE002C" w14:textId="77777777" w:rsidR="00457CF1" w:rsidRDefault="00457CF1" w:rsidP="00457CF1">
      <w:pPr>
        <w:tabs>
          <w:tab w:val="num" w:pos="720"/>
        </w:tabs>
        <w:contextualSpacing/>
        <w:rPr>
          <w:rFonts w:ascii="Arial" w:hAnsi="Arial" w:cs="Arial"/>
          <w:b/>
          <w:i/>
        </w:rPr>
      </w:pPr>
    </w:p>
    <w:p w14:paraId="20896370" w14:textId="4E754B44" w:rsidR="00457CF1" w:rsidRPr="00AD1DA9" w:rsidRDefault="00AD1DA9" w:rsidP="00457CF1">
      <w:pPr>
        <w:pStyle w:val="ListParagraph"/>
        <w:numPr>
          <w:ilvl w:val="0"/>
          <w:numId w:val="9"/>
        </w:numPr>
        <w:tabs>
          <w:tab w:val="num" w:pos="720"/>
        </w:tabs>
        <w:rPr>
          <w:rFonts w:ascii="Arial" w:hAnsi="Arial" w:cs="Arial"/>
          <w:bCs/>
          <w:iCs/>
          <w:sz w:val="22"/>
          <w:szCs w:val="22"/>
        </w:rPr>
      </w:pPr>
      <w:r w:rsidRPr="00AD1DA9">
        <w:rPr>
          <w:rFonts w:ascii="Arial" w:hAnsi="Arial" w:cs="Arial"/>
          <w:bCs/>
          <w:iCs/>
          <w:sz w:val="22"/>
          <w:szCs w:val="22"/>
        </w:rPr>
        <w:t>No change</w:t>
      </w:r>
    </w:p>
    <w:p w14:paraId="51B89627" w14:textId="77777777" w:rsidR="00457CF1" w:rsidRDefault="00457CF1" w:rsidP="00457CF1">
      <w:pPr>
        <w:tabs>
          <w:tab w:val="num" w:pos="720"/>
        </w:tabs>
        <w:contextualSpacing/>
        <w:rPr>
          <w:rFonts w:ascii="Arial" w:hAnsi="Arial" w:cs="Arial"/>
          <w:b/>
          <w:i/>
        </w:rPr>
      </w:pPr>
    </w:p>
    <w:p w14:paraId="31654789"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157625CB" w14:textId="77777777" w:rsidR="00457CF1" w:rsidRDefault="00457CF1" w:rsidP="00457CF1">
      <w:pPr>
        <w:tabs>
          <w:tab w:val="num" w:pos="720"/>
        </w:tabs>
        <w:contextualSpacing/>
        <w:rPr>
          <w:rFonts w:ascii="Arial" w:hAnsi="Arial" w:cs="Arial"/>
          <w:b/>
          <w:i/>
        </w:rPr>
      </w:pPr>
    </w:p>
    <w:p w14:paraId="7722CE1B" w14:textId="753ADB3D" w:rsidR="00AD1DA9" w:rsidRDefault="00AD1DA9" w:rsidP="00457CF1">
      <w:pPr>
        <w:pStyle w:val="ListParagraph"/>
        <w:numPr>
          <w:ilvl w:val="0"/>
          <w:numId w:val="9"/>
        </w:numPr>
        <w:tabs>
          <w:tab w:val="num" w:pos="720"/>
        </w:tabs>
        <w:rPr>
          <w:rFonts w:ascii="Arial" w:hAnsi="Arial" w:cs="Arial"/>
          <w:bCs/>
          <w:iCs/>
          <w:sz w:val="22"/>
          <w:szCs w:val="22"/>
        </w:rPr>
      </w:pPr>
      <w:r w:rsidRPr="00AD1DA9">
        <w:rPr>
          <w:rFonts w:ascii="Arial" w:hAnsi="Arial" w:cs="Arial"/>
          <w:bCs/>
          <w:iCs/>
          <w:sz w:val="22"/>
          <w:szCs w:val="22"/>
        </w:rPr>
        <w:t>#1</w:t>
      </w:r>
      <w:r w:rsidR="007C3ABC">
        <w:rPr>
          <w:rFonts w:ascii="Arial" w:hAnsi="Arial" w:cs="Arial"/>
          <w:sz w:val="22"/>
          <w:szCs w:val="22"/>
        </w:rPr>
        <w:t xml:space="preserve"> </w:t>
      </w:r>
      <w:r w:rsidR="007C3ABC" w:rsidRPr="007A34A5">
        <w:rPr>
          <w:rFonts w:ascii="Arial" w:hAnsi="Arial" w:cs="Arial"/>
          <w:sz w:val="22"/>
          <w:szCs w:val="22"/>
        </w:rPr>
        <w:t>–</w:t>
      </w:r>
      <w:r w:rsidR="007C3ABC">
        <w:rPr>
          <w:rFonts w:ascii="Arial" w:hAnsi="Arial" w:cs="Arial"/>
          <w:sz w:val="22"/>
          <w:szCs w:val="22"/>
        </w:rPr>
        <w:t xml:space="preserve"> </w:t>
      </w:r>
      <w:r w:rsidRPr="00AD1DA9">
        <w:rPr>
          <w:rFonts w:ascii="Arial" w:hAnsi="Arial" w:cs="Arial"/>
          <w:bCs/>
          <w:iCs/>
          <w:sz w:val="22"/>
          <w:szCs w:val="22"/>
        </w:rPr>
        <w:t xml:space="preserve">If awarded, Applicant must provide anticipated number of classroom outreach presentations conducted by the Project. </w:t>
      </w:r>
    </w:p>
    <w:p w14:paraId="70949A1C" w14:textId="18284A4E" w:rsidR="00457CF1" w:rsidRPr="00AD1DA9" w:rsidRDefault="00AD1DA9" w:rsidP="00457CF1">
      <w:pPr>
        <w:pStyle w:val="ListParagraph"/>
        <w:numPr>
          <w:ilvl w:val="0"/>
          <w:numId w:val="9"/>
        </w:numPr>
        <w:tabs>
          <w:tab w:val="num" w:pos="720"/>
        </w:tabs>
        <w:rPr>
          <w:rFonts w:ascii="Arial" w:hAnsi="Arial" w:cs="Arial"/>
          <w:bCs/>
          <w:iCs/>
          <w:sz w:val="22"/>
          <w:szCs w:val="22"/>
        </w:rPr>
      </w:pPr>
      <w:r w:rsidRPr="00AD1DA9">
        <w:rPr>
          <w:rFonts w:ascii="Arial" w:hAnsi="Arial" w:cs="Arial"/>
          <w:bCs/>
          <w:iCs/>
          <w:sz w:val="22"/>
          <w:szCs w:val="22"/>
        </w:rPr>
        <w:t>#</w:t>
      </w:r>
      <w:r w:rsidR="00A97E10" w:rsidRPr="00AD1DA9">
        <w:rPr>
          <w:rFonts w:ascii="Arial" w:hAnsi="Arial" w:cs="Arial"/>
          <w:bCs/>
          <w:iCs/>
          <w:sz w:val="22"/>
          <w:szCs w:val="22"/>
        </w:rPr>
        <w:t xml:space="preserve">2 </w:t>
      </w:r>
      <w:r w:rsidR="00A97E10">
        <w:rPr>
          <w:rFonts w:ascii="Arial" w:hAnsi="Arial" w:cs="Arial"/>
          <w:sz w:val="22"/>
          <w:szCs w:val="22"/>
        </w:rPr>
        <w:t>–</w:t>
      </w:r>
      <w:r w:rsidR="007C3ABC">
        <w:rPr>
          <w:rFonts w:ascii="Arial" w:hAnsi="Arial" w:cs="Arial"/>
          <w:sz w:val="22"/>
          <w:szCs w:val="22"/>
        </w:rPr>
        <w:t xml:space="preserve"> </w:t>
      </w:r>
      <w:r w:rsidRPr="00AD1DA9">
        <w:rPr>
          <w:rFonts w:ascii="Arial" w:hAnsi="Arial" w:cs="Arial"/>
          <w:bCs/>
          <w:iCs/>
          <w:sz w:val="22"/>
          <w:szCs w:val="22"/>
        </w:rPr>
        <w:t>If awarded, Applicant must provide the number of public events they anticipate attending.</w:t>
      </w:r>
    </w:p>
    <w:p w14:paraId="0FE91B50" w14:textId="0D49DD12" w:rsidR="00AD1DA9" w:rsidRDefault="00AD1DA9">
      <w:pPr>
        <w:spacing w:after="160" w:line="259" w:lineRule="auto"/>
        <w:rPr>
          <w:rFonts w:ascii="Arial" w:hAnsi="Arial" w:cs="Arial"/>
          <w:b/>
          <w:i/>
        </w:rPr>
      </w:pPr>
      <w:r>
        <w:rPr>
          <w:rFonts w:ascii="Arial" w:hAnsi="Arial" w:cs="Arial"/>
          <w:b/>
          <w:i/>
        </w:rPr>
        <w:br w:type="page"/>
      </w:r>
    </w:p>
    <w:p w14:paraId="65B2A75F" w14:textId="77777777" w:rsidR="00457CF1" w:rsidRDefault="00457CF1" w:rsidP="00457CF1">
      <w:pPr>
        <w:tabs>
          <w:tab w:val="num" w:pos="720"/>
        </w:tabs>
        <w:contextualSpacing/>
        <w:rPr>
          <w:rFonts w:ascii="Arial" w:hAnsi="Arial" w:cs="Arial"/>
          <w:b/>
          <w:i/>
        </w:rPr>
      </w:pPr>
    </w:p>
    <w:p w14:paraId="7CC97857"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581AAF38" w14:textId="77777777" w:rsidR="00457CF1" w:rsidRDefault="00457CF1" w:rsidP="00457CF1">
      <w:pPr>
        <w:tabs>
          <w:tab w:val="num" w:pos="720"/>
        </w:tabs>
        <w:contextualSpacing/>
        <w:rPr>
          <w:rFonts w:ascii="Arial" w:hAnsi="Arial" w:cs="Arial"/>
          <w:b/>
          <w:i/>
        </w:rPr>
      </w:pPr>
    </w:p>
    <w:p w14:paraId="12C0DCE0" w14:textId="7E605DDC" w:rsidR="00457CF1" w:rsidRPr="00AD1DA9" w:rsidRDefault="00AD1DA9" w:rsidP="00AD1DA9">
      <w:pPr>
        <w:pStyle w:val="ListParagraph"/>
        <w:numPr>
          <w:ilvl w:val="0"/>
          <w:numId w:val="9"/>
        </w:numPr>
        <w:tabs>
          <w:tab w:val="num" w:pos="720"/>
        </w:tabs>
        <w:rPr>
          <w:rFonts w:ascii="Arial" w:hAnsi="Arial" w:cs="Arial"/>
          <w:bCs/>
          <w:iCs/>
          <w:sz w:val="22"/>
          <w:szCs w:val="22"/>
        </w:rPr>
      </w:pPr>
      <w:r w:rsidRPr="00AD1DA9">
        <w:rPr>
          <w:rFonts w:ascii="Arial" w:hAnsi="Arial" w:cs="Arial"/>
          <w:bCs/>
          <w:iCs/>
          <w:sz w:val="22"/>
          <w:szCs w:val="22"/>
        </w:rPr>
        <w:t>No change</w:t>
      </w:r>
    </w:p>
    <w:p w14:paraId="0BE63593" w14:textId="77777777" w:rsidR="00457CF1" w:rsidRDefault="00457CF1" w:rsidP="00457CF1">
      <w:pPr>
        <w:tabs>
          <w:tab w:val="num" w:pos="720"/>
        </w:tabs>
        <w:contextualSpacing/>
        <w:rPr>
          <w:rFonts w:ascii="Arial" w:hAnsi="Arial" w:cs="Arial"/>
          <w:b/>
          <w:i/>
        </w:rPr>
      </w:pPr>
    </w:p>
    <w:p w14:paraId="19A204B9"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779BE926" w14:textId="77777777" w:rsidR="00457CF1" w:rsidRPr="009460E1" w:rsidRDefault="00457CF1" w:rsidP="00457CF1">
      <w:pPr>
        <w:tabs>
          <w:tab w:val="num" w:pos="720"/>
        </w:tabs>
        <w:contextualSpacing/>
        <w:rPr>
          <w:rFonts w:ascii="Arial" w:hAnsi="Arial" w:cs="Arial"/>
          <w:b/>
          <w:i/>
        </w:rPr>
      </w:pPr>
    </w:p>
    <w:p w14:paraId="6ABBCE9E" w14:textId="057084D8" w:rsidR="00AD1DA9" w:rsidRDefault="00AD1DA9" w:rsidP="00457CF1">
      <w:pPr>
        <w:pStyle w:val="ListParagraph"/>
        <w:numPr>
          <w:ilvl w:val="0"/>
          <w:numId w:val="7"/>
        </w:numPr>
        <w:autoSpaceDE w:val="0"/>
        <w:autoSpaceDN w:val="0"/>
        <w:adjustRightInd w:val="0"/>
        <w:rPr>
          <w:rFonts w:ascii="Arial" w:hAnsi="Arial" w:cs="Arial"/>
          <w:iCs/>
          <w:sz w:val="22"/>
          <w:szCs w:val="22"/>
        </w:rPr>
      </w:pPr>
      <w:r w:rsidRPr="00AD1DA9">
        <w:rPr>
          <w:rFonts w:ascii="Arial" w:hAnsi="Arial" w:cs="Arial"/>
          <w:iCs/>
          <w:sz w:val="22"/>
          <w:szCs w:val="22"/>
        </w:rPr>
        <w:t xml:space="preserve">Staff #1 </w:t>
      </w:r>
      <w:r w:rsidR="00647F99">
        <w:rPr>
          <w:rFonts w:ascii="Arial" w:hAnsi="Arial" w:cs="Arial"/>
          <w:iCs/>
          <w:sz w:val="22"/>
          <w:szCs w:val="22"/>
        </w:rPr>
        <w:t>“</w:t>
      </w:r>
      <w:r w:rsidRPr="00AD1DA9">
        <w:rPr>
          <w:rFonts w:ascii="Arial" w:hAnsi="Arial" w:cs="Arial"/>
          <w:iCs/>
          <w:sz w:val="22"/>
          <w:szCs w:val="22"/>
        </w:rPr>
        <w:t>Public Contact / Outreach Ranger</w:t>
      </w:r>
      <w:r w:rsidR="00647F99">
        <w:rPr>
          <w:rFonts w:ascii="Arial" w:hAnsi="Arial" w:cs="Arial"/>
          <w:iCs/>
          <w:sz w:val="22"/>
          <w:szCs w:val="22"/>
        </w:rPr>
        <w:t>”</w:t>
      </w:r>
      <w:r>
        <w:rPr>
          <w:rFonts w:ascii="Arial" w:hAnsi="Arial" w:cs="Arial"/>
          <w:iCs/>
          <w:sz w:val="22"/>
          <w:szCs w:val="22"/>
        </w:rPr>
        <w:t xml:space="preserve"> </w:t>
      </w:r>
      <w:r w:rsidR="00C50759">
        <w:rPr>
          <w:rFonts w:ascii="Arial" w:hAnsi="Arial" w:cs="Arial"/>
          <w:iCs/>
          <w:sz w:val="22"/>
          <w:szCs w:val="22"/>
        </w:rPr>
        <w:t>–</w:t>
      </w:r>
      <w:r w:rsidRPr="00AD1DA9">
        <w:rPr>
          <w:rFonts w:ascii="Arial" w:hAnsi="Arial" w:cs="Arial"/>
          <w:iCs/>
          <w:sz w:val="22"/>
          <w:szCs w:val="22"/>
        </w:rPr>
        <w:t xml:space="preserve"> Applicant did not respond to Division comment and provide the percentage of time in an average business day personnel handle Off</w:t>
      </w:r>
      <w:r w:rsidR="00C50759">
        <w:rPr>
          <w:rFonts w:ascii="Arial" w:hAnsi="Arial" w:cs="Arial"/>
          <w:iCs/>
          <w:sz w:val="22"/>
          <w:szCs w:val="22"/>
        </w:rPr>
        <w:t>–</w:t>
      </w:r>
      <w:r w:rsidRPr="00AD1DA9">
        <w:rPr>
          <w:rFonts w:ascii="Arial" w:hAnsi="Arial" w:cs="Arial"/>
          <w:iCs/>
          <w:sz w:val="22"/>
          <w:szCs w:val="22"/>
        </w:rPr>
        <w:t xml:space="preserve">Highway Vehicle related inquires and how that percentage was determined.  Applicant states, </w:t>
      </w:r>
      <w:r w:rsidR="00C50759">
        <w:rPr>
          <w:rFonts w:ascii="Arial" w:hAnsi="Arial" w:cs="Arial"/>
          <w:iCs/>
          <w:sz w:val="22"/>
          <w:szCs w:val="22"/>
        </w:rPr>
        <w:t>‘</w:t>
      </w:r>
      <w:r w:rsidRPr="00AD1DA9">
        <w:rPr>
          <w:rFonts w:ascii="Arial" w:hAnsi="Arial" w:cs="Arial"/>
          <w:iCs/>
          <w:sz w:val="22"/>
          <w:szCs w:val="22"/>
        </w:rPr>
        <w:t>75% of his time dealing with the public</w:t>
      </w:r>
      <w:r w:rsidR="00C50759">
        <w:rPr>
          <w:rFonts w:ascii="Arial" w:hAnsi="Arial" w:cs="Arial"/>
          <w:iCs/>
          <w:sz w:val="22"/>
          <w:szCs w:val="22"/>
        </w:rPr>
        <w:t>’</w:t>
      </w:r>
      <w:r w:rsidRPr="00AD1DA9">
        <w:rPr>
          <w:rFonts w:ascii="Arial" w:hAnsi="Arial" w:cs="Arial"/>
          <w:iCs/>
          <w:sz w:val="22"/>
          <w:szCs w:val="22"/>
        </w:rPr>
        <w:t>¦</w:t>
      </w:r>
      <w:r>
        <w:rPr>
          <w:rFonts w:ascii="Arial" w:hAnsi="Arial" w:cs="Arial"/>
          <w:iCs/>
          <w:sz w:val="22"/>
          <w:szCs w:val="22"/>
        </w:rPr>
        <w:t xml:space="preserve"> </w:t>
      </w:r>
      <w:r w:rsidRPr="00AD1DA9">
        <w:rPr>
          <w:rFonts w:ascii="Arial" w:hAnsi="Arial" w:cs="Arial"/>
          <w:iCs/>
          <w:sz w:val="22"/>
          <w:szCs w:val="22"/>
        </w:rPr>
        <w:t>most interactions are OHV related</w:t>
      </w:r>
      <w:r w:rsidR="00C50759">
        <w:rPr>
          <w:rFonts w:ascii="Arial" w:hAnsi="Arial" w:cs="Arial"/>
          <w:iCs/>
          <w:sz w:val="22"/>
          <w:szCs w:val="22"/>
        </w:rPr>
        <w:t>’</w:t>
      </w:r>
      <w:r w:rsidRPr="00AD1DA9">
        <w:rPr>
          <w:rFonts w:ascii="Arial" w:hAnsi="Arial" w:cs="Arial"/>
          <w:iCs/>
          <w:sz w:val="22"/>
          <w:szCs w:val="22"/>
        </w:rPr>
        <w:t xml:space="preserve">.  Without clarification of what </w:t>
      </w:r>
      <w:r w:rsidR="00C50759">
        <w:rPr>
          <w:rFonts w:ascii="Arial" w:hAnsi="Arial" w:cs="Arial"/>
          <w:iCs/>
          <w:sz w:val="22"/>
          <w:szCs w:val="22"/>
        </w:rPr>
        <w:t>‘</w:t>
      </w:r>
      <w:r w:rsidRPr="00AD1DA9">
        <w:rPr>
          <w:rFonts w:ascii="Arial" w:hAnsi="Arial" w:cs="Arial"/>
          <w:iCs/>
          <w:sz w:val="22"/>
          <w:szCs w:val="22"/>
        </w:rPr>
        <w:t>most</w:t>
      </w:r>
      <w:r w:rsidR="00C50759">
        <w:rPr>
          <w:rFonts w:ascii="Arial" w:hAnsi="Arial" w:cs="Arial"/>
          <w:iCs/>
          <w:sz w:val="22"/>
          <w:szCs w:val="22"/>
        </w:rPr>
        <w:t>’</w:t>
      </w:r>
      <w:r>
        <w:rPr>
          <w:rFonts w:ascii="Arial" w:hAnsi="Arial" w:cs="Arial"/>
          <w:iCs/>
          <w:sz w:val="22"/>
          <w:szCs w:val="22"/>
        </w:rPr>
        <w:t xml:space="preserve"> </w:t>
      </w:r>
      <w:r w:rsidRPr="00AD1DA9">
        <w:rPr>
          <w:rFonts w:ascii="Arial" w:hAnsi="Arial" w:cs="Arial"/>
          <w:iCs/>
          <w:sz w:val="22"/>
          <w:szCs w:val="22"/>
        </w:rPr>
        <w:t>means, review team determines 75% of the interactions this position conducts are OHV related.  That means 25% of the time designated dealing with the public (which is 75% of the of the position's time) is non</w:t>
      </w:r>
      <w:r w:rsidR="00C50759">
        <w:rPr>
          <w:rFonts w:ascii="Arial" w:hAnsi="Arial" w:cs="Arial"/>
          <w:iCs/>
          <w:sz w:val="22"/>
          <w:szCs w:val="22"/>
        </w:rPr>
        <w:t>–</w:t>
      </w:r>
      <w:r w:rsidRPr="00AD1DA9">
        <w:rPr>
          <w:rFonts w:ascii="Arial" w:hAnsi="Arial" w:cs="Arial"/>
          <w:iCs/>
          <w:sz w:val="22"/>
          <w:szCs w:val="22"/>
        </w:rPr>
        <w:t xml:space="preserve">OHV related. Deduct </w:t>
      </w:r>
      <w:r w:rsidR="00C50759">
        <w:rPr>
          <w:rFonts w:ascii="Arial" w:hAnsi="Arial" w:cs="Arial"/>
          <w:iCs/>
          <w:sz w:val="22"/>
          <w:szCs w:val="22"/>
        </w:rPr>
        <w:t>Grant</w:t>
      </w:r>
      <w:r w:rsidRPr="00AD1DA9">
        <w:rPr>
          <w:rFonts w:ascii="Arial" w:hAnsi="Arial" w:cs="Arial"/>
          <w:iCs/>
          <w:sz w:val="22"/>
          <w:szCs w:val="22"/>
        </w:rPr>
        <w:t xml:space="preserve"> $10,000 and match $1,913.</w:t>
      </w:r>
    </w:p>
    <w:p w14:paraId="0FE8FA09" w14:textId="696FB810" w:rsidR="00AD1DA9" w:rsidRDefault="00AD1DA9" w:rsidP="00457CF1">
      <w:pPr>
        <w:pStyle w:val="ListParagraph"/>
        <w:numPr>
          <w:ilvl w:val="0"/>
          <w:numId w:val="7"/>
        </w:numPr>
        <w:autoSpaceDE w:val="0"/>
        <w:autoSpaceDN w:val="0"/>
        <w:adjustRightInd w:val="0"/>
        <w:rPr>
          <w:rFonts w:ascii="Arial" w:hAnsi="Arial" w:cs="Arial"/>
          <w:iCs/>
          <w:sz w:val="22"/>
          <w:szCs w:val="22"/>
        </w:rPr>
      </w:pPr>
      <w:r w:rsidRPr="00AD1DA9">
        <w:rPr>
          <w:rFonts w:ascii="Arial" w:hAnsi="Arial" w:cs="Arial"/>
          <w:iCs/>
          <w:sz w:val="22"/>
          <w:szCs w:val="22"/>
        </w:rPr>
        <w:t xml:space="preserve">Indirect </w:t>
      </w:r>
      <w:r w:rsidR="00C50759">
        <w:rPr>
          <w:rFonts w:ascii="Arial" w:hAnsi="Arial" w:cs="Arial"/>
          <w:iCs/>
          <w:sz w:val="22"/>
          <w:szCs w:val="22"/>
        </w:rPr>
        <w:t>–</w:t>
      </w:r>
      <w:r w:rsidRPr="00AD1DA9">
        <w:rPr>
          <w:rFonts w:ascii="Arial" w:hAnsi="Arial" w:cs="Arial"/>
          <w:iCs/>
          <w:sz w:val="22"/>
          <w:szCs w:val="22"/>
        </w:rPr>
        <w:t xml:space="preserve"> Applicant has now exceeded the 15% maximum allowable. Deduct $1,500 indirect match. </w:t>
      </w:r>
    </w:p>
    <w:p w14:paraId="089E61AB" w14:textId="77777777" w:rsidR="00AD1DA9" w:rsidRDefault="00AD1DA9" w:rsidP="00AD1DA9">
      <w:pPr>
        <w:pStyle w:val="ListParagraph"/>
        <w:autoSpaceDE w:val="0"/>
        <w:autoSpaceDN w:val="0"/>
        <w:adjustRightInd w:val="0"/>
        <w:rPr>
          <w:rFonts w:ascii="Arial" w:hAnsi="Arial" w:cs="Arial"/>
          <w:iCs/>
          <w:sz w:val="22"/>
          <w:szCs w:val="22"/>
        </w:rPr>
      </w:pPr>
    </w:p>
    <w:p w14:paraId="382E1CB4" w14:textId="77777777" w:rsidR="00AD1DA9" w:rsidRPr="00E4007D" w:rsidRDefault="00AD1DA9" w:rsidP="00AD1DA9">
      <w:pPr>
        <w:pStyle w:val="ListParagraph"/>
        <w:autoSpaceDE w:val="0"/>
        <w:autoSpaceDN w:val="0"/>
        <w:adjustRightInd w:val="0"/>
        <w:rPr>
          <w:rFonts w:ascii="Arial" w:hAnsi="Arial" w:cs="Arial"/>
          <w:iCs/>
          <w:sz w:val="22"/>
          <w:szCs w:val="22"/>
          <w:u w:val="single"/>
        </w:rPr>
      </w:pPr>
      <w:r w:rsidRPr="00E4007D">
        <w:rPr>
          <w:rFonts w:ascii="Arial" w:hAnsi="Arial" w:cs="Arial"/>
          <w:iCs/>
          <w:sz w:val="22"/>
          <w:szCs w:val="22"/>
          <w:u w:val="single"/>
        </w:rPr>
        <w:t>Revised Totals:</w:t>
      </w:r>
    </w:p>
    <w:p w14:paraId="6DAB0180" w14:textId="75B01911" w:rsidR="00AD1DA9" w:rsidRDefault="00C50759" w:rsidP="00AD1DA9">
      <w:pPr>
        <w:pStyle w:val="ListParagraph"/>
        <w:autoSpaceDE w:val="0"/>
        <w:autoSpaceDN w:val="0"/>
        <w:adjustRightInd w:val="0"/>
        <w:rPr>
          <w:rFonts w:ascii="Arial" w:hAnsi="Arial" w:cs="Arial"/>
          <w:iCs/>
          <w:sz w:val="22"/>
          <w:szCs w:val="22"/>
        </w:rPr>
      </w:pPr>
      <w:r>
        <w:rPr>
          <w:rFonts w:ascii="Arial" w:hAnsi="Arial" w:cs="Arial"/>
          <w:iCs/>
          <w:sz w:val="22"/>
          <w:szCs w:val="22"/>
        </w:rPr>
        <w:t>Grant</w:t>
      </w:r>
      <w:r w:rsidR="00AD1DA9" w:rsidRPr="00AD1DA9">
        <w:rPr>
          <w:rFonts w:ascii="Arial" w:hAnsi="Arial" w:cs="Arial"/>
          <w:iCs/>
          <w:sz w:val="22"/>
          <w:szCs w:val="22"/>
        </w:rPr>
        <w:t xml:space="preserve"> Request: $61,530</w:t>
      </w:r>
    </w:p>
    <w:p w14:paraId="51F60074" w14:textId="77777777" w:rsidR="00AD1DA9" w:rsidRDefault="00AD1DA9" w:rsidP="00AD1DA9">
      <w:pPr>
        <w:pStyle w:val="ListParagraph"/>
        <w:autoSpaceDE w:val="0"/>
        <w:autoSpaceDN w:val="0"/>
        <w:adjustRightInd w:val="0"/>
        <w:rPr>
          <w:rFonts w:ascii="Arial" w:hAnsi="Arial" w:cs="Arial"/>
          <w:iCs/>
          <w:sz w:val="22"/>
          <w:szCs w:val="22"/>
        </w:rPr>
      </w:pPr>
      <w:r w:rsidRPr="00AD1DA9">
        <w:rPr>
          <w:rFonts w:ascii="Arial" w:hAnsi="Arial" w:cs="Arial"/>
          <w:iCs/>
          <w:sz w:val="22"/>
          <w:szCs w:val="22"/>
        </w:rPr>
        <w:t>Match: $21,729</w:t>
      </w:r>
    </w:p>
    <w:p w14:paraId="334C3CA2" w14:textId="54656C3B" w:rsidR="00457CF1" w:rsidRPr="00AD1DA9" w:rsidRDefault="00AD1DA9" w:rsidP="00AD1DA9">
      <w:pPr>
        <w:pStyle w:val="ListParagraph"/>
        <w:autoSpaceDE w:val="0"/>
        <w:autoSpaceDN w:val="0"/>
        <w:adjustRightInd w:val="0"/>
        <w:rPr>
          <w:rFonts w:ascii="Arial" w:hAnsi="Arial" w:cs="Arial"/>
          <w:iCs/>
          <w:sz w:val="22"/>
          <w:szCs w:val="22"/>
        </w:rPr>
      </w:pPr>
      <w:r w:rsidRPr="00AD1DA9">
        <w:rPr>
          <w:rFonts w:ascii="Arial" w:hAnsi="Arial" w:cs="Arial"/>
          <w:iCs/>
          <w:sz w:val="22"/>
          <w:szCs w:val="22"/>
        </w:rPr>
        <w:t>Total Project cost: $83,259</w:t>
      </w:r>
    </w:p>
    <w:p w14:paraId="0EBEE700"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
    <w:p w14:paraId="4CB09DCD" w14:textId="77777777" w:rsidR="00457CF1" w:rsidRPr="009460E1" w:rsidRDefault="00457CF1" w:rsidP="00457CF1">
      <w:pPr>
        <w:tabs>
          <w:tab w:val="num" w:pos="720"/>
        </w:tabs>
        <w:contextualSpacing/>
        <w:rPr>
          <w:rFonts w:ascii="Arial" w:hAnsi="Arial" w:cs="Arial"/>
          <w:b/>
          <w:i/>
        </w:rPr>
      </w:pPr>
      <w:r w:rsidRPr="009460E1">
        <w:rPr>
          <w:rFonts w:ascii="Arial" w:hAnsi="Arial" w:cs="Arial"/>
          <w:b/>
          <w:i/>
        </w:rPr>
        <w:t>Evaluation Criteria</w:t>
      </w:r>
    </w:p>
    <w:p w14:paraId="2EA2A128" w14:textId="77777777" w:rsidR="00457CF1" w:rsidRDefault="00457CF1" w:rsidP="00457CF1">
      <w:pPr>
        <w:tabs>
          <w:tab w:val="num" w:pos="720"/>
        </w:tabs>
        <w:contextualSpacing/>
        <w:rPr>
          <w:rFonts w:ascii="Arial" w:hAnsi="Arial" w:cs="Arial"/>
          <w:sz w:val="22"/>
          <w:szCs w:val="22"/>
        </w:rPr>
      </w:pPr>
    </w:p>
    <w:p w14:paraId="300D53A6" w14:textId="72526A19" w:rsidR="00457CF1" w:rsidRDefault="00E4007D" w:rsidP="00457CF1">
      <w:pPr>
        <w:pStyle w:val="ListParagraph"/>
        <w:numPr>
          <w:ilvl w:val="0"/>
          <w:numId w:val="9"/>
        </w:numPr>
        <w:tabs>
          <w:tab w:val="num" w:pos="720"/>
        </w:tabs>
        <w:rPr>
          <w:rFonts w:ascii="Arial" w:hAnsi="Arial" w:cs="Arial"/>
          <w:sz w:val="22"/>
          <w:szCs w:val="22"/>
        </w:rPr>
      </w:pPr>
      <w:r w:rsidRPr="00E4007D">
        <w:rPr>
          <w:rFonts w:ascii="Arial" w:hAnsi="Arial" w:cs="Arial"/>
          <w:sz w:val="22"/>
          <w:szCs w:val="22"/>
        </w:rPr>
        <w:t>#</w:t>
      </w:r>
      <w:r w:rsidR="00A97E10" w:rsidRPr="00E4007D">
        <w:rPr>
          <w:rFonts w:ascii="Arial" w:hAnsi="Arial" w:cs="Arial"/>
          <w:sz w:val="22"/>
          <w:szCs w:val="22"/>
        </w:rPr>
        <w:t xml:space="preserve">3 </w:t>
      </w:r>
      <w:r w:rsidR="00A97E10">
        <w:rPr>
          <w:rFonts w:ascii="Arial" w:hAnsi="Arial" w:cs="Arial"/>
          <w:sz w:val="22"/>
          <w:szCs w:val="22"/>
        </w:rPr>
        <w:t>–</w:t>
      </w:r>
      <w:r w:rsidR="007C3ABC">
        <w:rPr>
          <w:rFonts w:ascii="Arial" w:hAnsi="Arial" w:cs="Arial"/>
          <w:sz w:val="22"/>
          <w:szCs w:val="22"/>
        </w:rPr>
        <w:t xml:space="preserve"> </w:t>
      </w:r>
      <w:r w:rsidRPr="00E4007D">
        <w:rPr>
          <w:rFonts w:ascii="Arial" w:hAnsi="Arial" w:cs="Arial"/>
          <w:sz w:val="22"/>
          <w:szCs w:val="22"/>
        </w:rPr>
        <w:t>Applicant has been responsive. Add 3 points.</w:t>
      </w:r>
    </w:p>
    <w:p w14:paraId="3B4FC538" w14:textId="3A0C5602" w:rsidR="00E4007D" w:rsidRPr="00457CF1" w:rsidRDefault="00E4007D" w:rsidP="00457CF1">
      <w:pPr>
        <w:pStyle w:val="ListParagraph"/>
        <w:numPr>
          <w:ilvl w:val="0"/>
          <w:numId w:val="9"/>
        </w:numPr>
        <w:tabs>
          <w:tab w:val="num" w:pos="720"/>
        </w:tabs>
        <w:rPr>
          <w:rFonts w:ascii="Arial" w:hAnsi="Arial" w:cs="Arial"/>
          <w:sz w:val="22"/>
          <w:szCs w:val="22"/>
        </w:rPr>
      </w:pPr>
      <w:r w:rsidRPr="00E4007D">
        <w:rPr>
          <w:rFonts w:ascii="Arial" w:hAnsi="Arial" w:cs="Arial"/>
          <w:sz w:val="22"/>
          <w:szCs w:val="22"/>
        </w:rPr>
        <w:t>#</w:t>
      </w:r>
      <w:r w:rsidR="00A97E10" w:rsidRPr="00E4007D">
        <w:rPr>
          <w:rFonts w:ascii="Arial" w:hAnsi="Arial" w:cs="Arial"/>
          <w:sz w:val="22"/>
          <w:szCs w:val="22"/>
        </w:rPr>
        <w:t xml:space="preserve">7 </w:t>
      </w:r>
      <w:r w:rsidR="00A97E10">
        <w:rPr>
          <w:rFonts w:ascii="Arial" w:hAnsi="Arial" w:cs="Arial"/>
          <w:sz w:val="22"/>
          <w:szCs w:val="22"/>
        </w:rPr>
        <w:t>–</w:t>
      </w:r>
      <w:r w:rsidR="007C3ABC">
        <w:rPr>
          <w:rFonts w:ascii="Arial" w:hAnsi="Arial" w:cs="Arial"/>
          <w:sz w:val="22"/>
          <w:szCs w:val="22"/>
        </w:rPr>
        <w:t xml:space="preserve"> </w:t>
      </w:r>
      <w:r w:rsidRPr="00E4007D">
        <w:rPr>
          <w:rFonts w:ascii="Arial" w:hAnsi="Arial" w:cs="Arial"/>
          <w:sz w:val="22"/>
          <w:szCs w:val="22"/>
        </w:rPr>
        <w:t xml:space="preserve"> Narrative does not support the selection of ''Testing process to ensure outcomes are effective''. Applicant did not provide clearly identifiable and/or measurable elements to substantiate selection.  Deduct 2 points.</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440C55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F956ED" w:rsidRPr="00F956ED">
                              <w:rPr>
                                <w:rFonts w:ascii="Arial" w:hAnsi="Arial" w:cs="Arial"/>
                                <w:b/>
                                <w:color w:val="000000" w:themeColor="text1"/>
                                <w:sz w:val="26"/>
                                <w:szCs w:val="26"/>
                              </w:rPr>
                              <w:t>G21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01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12</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1"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ixQQ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" fillcolor="#d9e2f3 [664]" strokecolor="black [3213]" strokeweight=".5pt">
                <v:fill color2="#d9e2f3 [664]" rotate="t" focusposition="1" focussize="" colors="0 #7d838f;.5 #b5bece;1 #d8e2f5" focus="100%" type="gradientRadial"/>
                <v:textbox>
                  <w:txbxContent>
                    <w:p w14:paraId="2E1A0250" w14:textId="0440C55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F956ED" w:rsidRPr="00F956ED">
                        <w:rPr>
                          <w:rFonts w:ascii="Arial" w:hAnsi="Arial" w:cs="Arial"/>
                          <w:b/>
                          <w:color w:val="000000" w:themeColor="text1"/>
                          <w:sz w:val="26"/>
                          <w:szCs w:val="26"/>
                        </w:rPr>
                        <w:t>G21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01</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12</w:t>
                      </w:r>
                      <w:r w:rsidR="00C50759">
                        <w:rPr>
                          <w:rFonts w:ascii="Arial" w:hAnsi="Arial" w:cs="Arial"/>
                          <w:b/>
                          <w:color w:val="000000" w:themeColor="text1"/>
                          <w:sz w:val="26"/>
                          <w:szCs w:val="26"/>
                        </w:rPr>
                        <w:t>–</w:t>
                      </w:r>
                      <w:r w:rsidR="00F956ED" w:rsidRPr="00F956ED">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799809D4" w:rsidR="007F05E3" w:rsidRPr="00C50A15" w:rsidRDefault="00C50A15" w:rsidP="00C50A15">
      <w:pPr>
        <w:pStyle w:val="ListParagraph"/>
        <w:numPr>
          <w:ilvl w:val="0"/>
          <w:numId w:val="1"/>
        </w:numPr>
        <w:rPr>
          <w:rFonts w:ascii="Arial" w:hAnsi="Arial" w:cs="Arial"/>
          <w:bCs/>
          <w:iCs/>
          <w:sz w:val="22"/>
          <w:szCs w:val="22"/>
        </w:rPr>
      </w:pPr>
      <w:r w:rsidRPr="00AD1DA9">
        <w:rPr>
          <w:rFonts w:ascii="Arial" w:hAnsi="Arial" w:cs="Arial"/>
          <w:bCs/>
          <w:iCs/>
          <w:sz w:val="22"/>
          <w:szCs w:val="22"/>
        </w:rPr>
        <w:t>No change</w:t>
      </w:r>
    </w:p>
    <w:p w14:paraId="52D17BB6" w14:textId="77777777" w:rsidR="007F05E3" w:rsidRDefault="007F05E3" w:rsidP="007F05E3"/>
    <w:p w14:paraId="4983D57A" w14:textId="77777777" w:rsidR="007F05E3" w:rsidRPr="009460E1" w:rsidRDefault="007F05E3" w:rsidP="007F05E3">
      <w:pPr>
        <w:rPr>
          <w:rFonts w:ascii="Arial" w:hAnsi="Arial" w:cs="Arial"/>
          <w:b/>
          <w:i/>
        </w:rPr>
      </w:pPr>
      <w:r>
        <w:rPr>
          <w:rFonts w:ascii="Arial" w:hAnsi="Arial" w:cs="Arial"/>
          <w:b/>
          <w:i/>
        </w:rPr>
        <w:t>Needs Enforcement Certification</w:t>
      </w:r>
    </w:p>
    <w:p w14:paraId="61A1736C" w14:textId="77777777" w:rsidR="007F05E3" w:rsidRDefault="007F05E3" w:rsidP="007F05E3">
      <w:pPr>
        <w:rPr>
          <w:rFonts w:ascii="Arial" w:hAnsi="Arial" w:cs="Arial"/>
        </w:rPr>
      </w:pPr>
    </w:p>
    <w:p w14:paraId="09D5E8BA" w14:textId="61A4AB1C" w:rsidR="007F05E3" w:rsidRPr="00C50A15" w:rsidRDefault="00C50A15" w:rsidP="00C50A15">
      <w:pPr>
        <w:pStyle w:val="ListParagraph"/>
        <w:numPr>
          <w:ilvl w:val="0"/>
          <w:numId w:val="1"/>
        </w:numPr>
        <w:rPr>
          <w:rFonts w:ascii="Arial" w:hAnsi="Arial" w:cs="Arial"/>
          <w:bCs/>
          <w:iCs/>
          <w:sz w:val="22"/>
          <w:szCs w:val="22"/>
        </w:rPr>
      </w:pPr>
      <w:r w:rsidRPr="00AD1DA9">
        <w:rPr>
          <w:rFonts w:ascii="Arial" w:hAnsi="Arial" w:cs="Arial"/>
          <w:bCs/>
          <w:iCs/>
          <w:sz w:val="22"/>
          <w:szCs w:val="22"/>
        </w:rPr>
        <w:t>No change</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7355B5B" w14:textId="242B2A43" w:rsidR="007F05E3" w:rsidRPr="00C50A15" w:rsidRDefault="00C50A15" w:rsidP="00C50A15">
      <w:pPr>
        <w:pStyle w:val="ListParagraph"/>
        <w:numPr>
          <w:ilvl w:val="0"/>
          <w:numId w:val="1"/>
        </w:numPr>
        <w:rPr>
          <w:rFonts w:ascii="Arial" w:hAnsi="Arial" w:cs="Arial"/>
          <w:bCs/>
          <w:iCs/>
          <w:sz w:val="22"/>
          <w:szCs w:val="22"/>
        </w:rPr>
      </w:pPr>
      <w:r w:rsidRPr="00AD1DA9">
        <w:rPr>
          <w:rFonts w:ascii="Arial" w:hAnsi="Arial" w:cs="Arial"/>
          <w:bCs/>
          <w:iCs/>
          <w:sz w:val="22"/>
          <w:szCs w:val="22"/>
        </w:rPr>
        <w:t>No change</w:t>
      </w:r>
    </w:p>
    <w:p w14:paraId="24FE5A99" w14:textId="77777777" w:rsidR="008616EC" w:rsidRPr="00742E02" w:rsidRDefault="008616EC" w:rsidP="007F05E3">
      <w:pPr>
        <w:contextualSpacing/>
        <w:rPr>
          <w:rFonts w:ascii="Arial" w:hAnsi="Arial" w:cs="Arial"/>
          <w:sz w:val="22"/>
          <w:szCs w:val="22"/>
        </w:rPr>
      </w:pPr>
    </w:p>
    <w:p w14:paraId="52042F72" w14:textId="77777777" w:rsidR="00F878AC" w:rsidRDefault="00F878AC" w:rsidP="007F05E3">
      <w:pPr>
        <w:tabs>
          <w:tab w:val="num" w:pos="720"/>
        </w:tabs>
        <w:contextualSpacing/>
        <w:rPr>
          <w:rFonts w:ascii="Arial" w:hAnsi="Arial" w:cs="Arial"/>
          <w:b/>
          <w:i/>
          <w:u w:val="single"/>
        </w:rPr>
      </w:pPr>
    </w:p>
    <w:p w14:paraId="74A87B0E" w14:textId="77777777" w:rsidR="00F878AC" w:rsidRDefault="00F878AC" w:rsidP="007F05E3">
      <w:pPr>
        <w:tabs>
          <w:tab w:val="num" w:pos="720"/>
        </w:tabs>
        <w:contextualSpacing/>
        <w:rPr>
          <w:rFonts w:ascii="Arial" w:hAnsi="Arial" w:cs="Arial"/>
          <w:b/>
          <w:i/>
          <w:u w:val="single"/>
        </w:rPr>
      </w:pPr>
    </w:p>
    <w:p w14:paraId="4CE65D53" w14:textId="059D0A80" w:rsidR="007F05E3" w:rsidRPr="005B215A" w:rsidRDefault="007F05E3" w:rsidP="007F05E3">
      <w:pPr>
        <w:tabs>
          <w:tab w:val="num" w:pos="720"/>
        </w:tabs>
        <w:contextualSpacing/>
        <w:rPr>
          <w:rFonts w:ascii="Arial" w:hAnsi="Arial" w:cs="Arial"/>
          <w:b/>
          <w:i/>
          <w:u w:val="single"/>
        </w:rPr>
      </w:pPr>
      <w:r w:rsidRPr="005B215A">
        <w:rPr>
          <w:rFonts w:ascii="Arial" w:hAnsi="Arial" w:cs="Arial"/>
          <w:b/>
          <w:i/>
          <w:u w:val="single"/>
        </w:rPr>
        <w:lastRenderedPageBreak/>
        <w:t xml:space="preserve">Starting with the 2016/2017 </w:t>
      </w:r>
      <w:r w:rsidR="00C50759">
        <w:rPr>
          <w:rFonts w:ascii="Arial" w:hAnsi="Arial" w:cs="Arial"/>
          <w:b/>
          <w:i/>
          <w:u w:val="single"/>
        </w:rPr>
        <w:t>Grant</w:t>
      </w:r>
      <w:r w:rsidRPr="005B215A">
        <w:rPr>
          <w:rFonts w:ascii="Arial" w:hAnsi="Arial" w:cs="Arial"/>
          <w:b/>
          <w:i/>
          <w:u w:val="single"/>
        </w:rPr>
        <w:t xml:space="preserve"> cycle, the following are not eligible costs:</w:t>
      </w:r>
    </w:p>
    <w:p w14:paraId="3C970667" w14:textId="77777777" w:rsidR="007F05E3" w:rsidRDefault="007F05E3" w:rsidP="007F05E3">
      <w:pPr>
        <w:tabs>
          <w:tab w:val="num" w:pos="720"/>
        </w:tabs>
        <w:contextualSpacing/>
        <w:rPr>
          <w:rFonts w:ascii="Arial" w:hAnsi="Arial" w:cs="Arial"/>
          <w:sz w:val="22"/>
          <w:szCs w:val="22"/>
        </w:rPr>
      </w:pPr>
    </w:p>
    <w:p w14:paraId="08DD81AD" w14:textId="77777777" w:rsidR="00F04D40" w:rsidRDefault="00F04D40" w:rsidP="001E1516">
      <w:pPr>
        <w:tabs>
          <w:tab w:val="num" w:pos="720"/>
        </w:tabs>
        <w:contextualSpacing/>
        <w:rPr>
          <w:rFonts w:ascii="Arial" w:hAnsi="Arial" w:cs="Arial"/>
          <w:sz w:val="22"/>
          <w:szCs w:val="22"/>
        </w:rPr>
        <w:sectPr w:rsidR="00F04D40" w:rsidSect="00687C41">
          <w:headerReference w:type="default" r:id="rId9"/>
          <w:footerReference w:type="default" r:id="rId10"/>
          <w:pgSz w:w="12240" w:h="15840"/>
          <w:pgMar w:top="1152" w:right="1440" w:bottom="1152" w:left="1440" w:header="720" w:footer="720" w:gutter="0"/>
          <w:cols w:space="720"/>
          <w:docGrid w:linePitch="360"/>
        </w:sectPr>
      </w:pPr>
    </w:p>
    <w:p w14:paraId="34C47EA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Firearms</w:t>
      </w:r>
    </w:p>
    <w:p w14:paraId="713C687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Ammo</w:t>
      </w:r>
    </w:p>
    <w:p w14:paraId="3581AC13"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 Accessories</w:t>
      </w:r>
    </w:p>
    <w:p w14:paraId="4AB329F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Targets</w:t>
      </w:r>
    </w:p>
    <w:p w14:paraId="565D08F9"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Holsters</w:t>
      </w:r>
    </w:p>
    <w:p w14:paraId="4A2E0D0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Tactical Vests</w:t>
      </w:r>
    </w:p>
    <w:p w14:paraId="63B78855" w14:textId="77777777" w:rsidR="005B215A" w:rsidRDefault="005B215A" w:rsidP="005B215A">
      <w:pPr>
        <w:pStyle w:val="ListParagraph"/>
        <w:numPr>
          <w:ilvl w:val="0"/>
          <w:numId w:val="8"/>
        </w:numPr>
        <w:spacing w:line="256" w:lineRule="auto"/>
        <w:rPr>
          <w:rFonts w:ascii="Arial" w:hAnsi="Arial" w:cs="Arial"/>
          <w:sz w:val="22"/>
          <w:szCs w:val="22"/>
        </w:rPr>
      </w:pPr>
      <w:r>
        <w:rPr>
          <w:rFonts w:ascii="Arial" w:hAnsi="Arial" w:cs="Arial"/>
          <w:sz w:val="22"/>
          <w:szCs w:val="22"/>
        </w:rPr>
        <w:t>Evidence Supplies</w:t>
      </w:r>
    </w:p>
    <w:p w14:paraId="12F61234" w14:textId="77777777" w:rsidR="005B215A" w:rsidRDefault="005B215A" w:rsidP="005B215A">
      <w:pPr>
        <w:pStyle w:val="ListParagraph"/>
        <w:numPr>
          <w:ilvl w:val="0"/>
          <w:numId w:val="8"/>
        </w:numPr>
        <w:spacing w:line="256" w:lineRule="auto"/>
        <w:rPr>
          <w:rFonts w:ascii="Arial" w:hAnsi="Arial" w:cs="Arial"/>
          <w:sz w:val="22"/>
          <w:szCs w:val="22"/>
        </w:rPr>
      </w:pPr>
      <w:r w:rsidRPr="005B215A">
        <w:rPr>
          <w:rFonts w:ascii="Arial" w:hAnsi="Arial" w:cs="Arial"/>
          <w:sz w:val="22"/>
          <w:szCs w:val="22"/>
        </w:rPr>
        <w:t>Basic Law Enforcement Vehicle Upgrades for vehicles not being requested in this Application (i.e. Lights, Sirens, etc.)</w:t>
      </w:r>
    </w:p>
    <w:p w14:paraId="052508E5" w14:textId="77777777" w:rsidR="005B215A" w:rsidRPr="00C50A15" w:rsidRDefault="005B215A" w:rsidP="005B215A">
      <w:pPr>
        <w:pStyle w:val="ListParagraph"/>
        <w:numPr>
          <w:ilvl w:val="0"/>
          <w:numId w:val="8"/>
        </w:numPr>
        <w:spacing w:after="160" w:line="256" w:lineRule="auto"/>
        <w:rPr>
          <w:rFonts w:ascii="Arial" w:hAnsi="Arial" w:cs="Arial"/>
          <w:iCs/>
          <w:sz w:val="22"/>
          <w:szCs w:val="22"/>
        </w:rPr>
      </w:pPr>
      <w:r w:rsidRPr="005B215A">
        <w:rPr>
          <w:rFonts w:ascii="Arial" w:hAnsi="Arial" w:cs="Arial"/>
          <w:i/>
          <w:sz w:val="22"/>
          <w:szCs w:val="22"/>
        </w:rPr>
        <w:br w:type="column"/>
      </w:r>
      <w:r w:rsidRPr="00C50A15">
        <w:rPr>
          <w:rFonts w:ascii="Arial" w:hAnsi="Arial" w:cs="Arial"/>
          <w:iCs/>
          <w:sz w:val="22"/>
          <w:szCs w:val="22"/>
        </w:rPr>
        <w:t>Gun Racks</w:t>
      </w:r>
    </w:p>
    <w:p w14:paraId="78D2EEE9" w14:textId="77777777" w:rsidR="005B215A" w:rsidRPr="00C50A15" w:rsidRDefault="005B215A" w:rsidP="005B215A">
      <w:pPr>
        <w:pStyle w:val="ListParagraph"/>
        <w:numPr>
          <w:ilvl w:val="0"/>
          <w:numId w:val="8"/>
        </w:numPr>
        <w:spacing w:after="160" w:line="256" w:lineRule="auto"/>
        <w:rPr>
          <w:rFonts w:ascii="Arial" w:hAnsi="Arial" w:cs="Arial"/>
          <w:iCs/>
          <w:sz w:val="22"/>
          <w:szCs w:val="22"/>
        </w:rPr>
      </w:pPr>
      <w:r w:rsidRPr="00C50A15">
        <w:rPr>
          <w:rFonts w:ascii="Arial" w:hAnsi="Arial" w:cs="Arial"/>
          <w:iCs/>
          <w:sz w:val="22"/>
          <w:szCs w:val="22"/>
        </w:rPr>
        <w:t>Truck Vaults</w:t>
      </w:r>
    </w:p>
    <w:p w14:paraId="4F2469EA" w14:textId="77777777" w:rsidR="005B215A" w:rsidRPr="00C50A15" w:rsidRDefault="005B215A" w:rsidP="005B215A">
      <w:pPr>
        <w:pStyle w:val="ListParagraph"/>
        <w:numPr>
          <w:ilvl w:val="0"/>
          <w:numId w:val="8"/>
        </w:numPr>
        <w:spacing w:after="160" w:line="256" w:lineRule="auto"/>
        <w:rPr>
          <w:rFonts w:ascii="Arial" w:hAnsi="Arial" w:cs="Arial"/>
          <w:iCs/>
          <w:sz w:val="22"/>
          <w:szCs w:val="22"/>
        </w:rPr>
      </w:pPr>
      <w:r w:rsidRPr="00C50A15">
        <w:rPr>
          <w:rFonts w:ascii="Arial" w:hAnsi="Arial" w:cs="Arial"/>
          <w:iCs/>
          <w:sz w:val="22"/>
          <w:szCs w:val="22"/>
        </w:rPr>
        <w:t>Prisoner Cages for regular patrol vehicles</w:t>
      </w:r>
    </w:p>
    <w:p w14:paraId="430006DB" w14:textId="77777777" w:rsidR="005B215A" w:rsidRPr="00C50A15" w:rsidRDefault="005B215A" w:rsidP="005B215A">
      <w:pPr>
        <w:pStyle w:val="ListParagraph"/>
        <w:numPr>
          <w:ilvl w:val="0"/>
          <w:numId w:val="8"/>
        </w:numPr>
        <w:spacing w:after="160" w:line="256" w:lineRule="auto"/>
        <w:rPr>
          <w:rFonts w:ascii="Arial" w:hAnsi="Arial" w:cs="Arial"/>
          <w:iCs/>
          <w:sz w:val="22"/>
          <w:szCs w:val="22"/>
        </w:rPr>
      </w:pPr>
      <w:r w:rsidRPr="00C50A15">
        <w:rPr>
          <w:rFonts w:ascii="Arial" w:hAnsi="Arial" w:cs="Arial"/>
          <w:iCs/>
          <w:sz w:val="22"/>
          <w:szCs w:val="22"/>
        </w:rPr>
        <w:t>Dash Cameras for regular patrol vehicles</w:t>
      </w:r>
    </w:p>
    <w:p w14:paraId="7313D905" w14:textId="77777777" w:rsidR="005B215A" w:rsidRPr="00C50A15" w:rsidRDefault="005B215A" w:rsidP="005B215A">
      <w:pPr>
        <w:pStyle w:val="ListParagraph"/>
        <w:numPr>
          <w:ilvl w:val="0"/>
          <w:numId w:val="8"/>
        </w:numPr>
        <w:spacing w:after="160" w:line="256" w:lineRule="auto"/>
        <w:rPr>
          <w:rFonts w:ascii="Arial" w:hAnsi="Arial" w:cs="Arial"/>
          <w:iCs/>
          <w:sz w:val="22"/>
          <w:szCs w:val="22"/>
        </w:rPr>
      </w:pPr>
      <w:r w:rsidRPr="00C50A15">
        <w:rPr>
          <w:rFonts w:ascii="Arial" w:hAnsi="Arial" w:cs="Arial"/>
          <w:iCs/>
          <w:sz w:val="22"/>
          <w:szCs w:val="22"/>
        </w:rPr>
        <w:t xml:space="preserve">Officer Worn Cameras (Body Cameras) </w:t>
      </w:r>
    </w:p>
    <w:p w14:paraId="5B79905F" w14:textId="77777777" w:rsidR="005B215A" w:rsidRPr="00C50A15" w:rsidRDefault="005B215A" w:rsidP="005B215A">
      <w:pPr>
        <w:pStyle w:val="ListParagraph"/>
        <w:numPr>
          <w:ilvl w:val="0"/>
          <w:numId w:val="8"/>
        </w:numPr>
        <w:spacing w:after="160" w:line="256" w:lineRule="auto"/>
        <w:rPr>
          <w:rFonts w:ascii="Arial" w:hAnsi="Arial" w:cs="Arial"/>
          <w:iCs/>
          <w:sz w:val="22"/>
          <w:szCs w:val="22"/>
        </w:rPr>
      </w:pPr>
      <w:r w:rsidRPr="00C50A15">
        <w:rPr>
          <w:rFonts w:ascii="Arial" w:hAnsi="Arial" w:cs="Arial"/>
          <w:iCs/>
          <w:sz w:val="22"/>
          <w:szCs w:val="22"/>
        </w:rPr>
        <w:t>Handheld Radar</w:t>
      </w:r>
    </w:p>
    <w:p w14:paraId="61A47A94" w14:textId="77777777" w:rsidR="005B215A" w:rsidRPr="00C50A15" w:rsidRDefault="005B215A" w:rsidP="005B215A">
      <w:pPr>
        <w:pStyle w:val="ListParagraph"/>
        <w:numPr>
          <w:ilvl w:val="0"/>
          <w:numId w:val="8"/>
        </w:numPr>
        <w:spacing w:after="160" w:line="256" w:lineRule="auto"/>
        <w:rPr>
          <w:rFonts w:ascii="Arial" w:hAnsi="Arial" w:cs="Arial"/>
          <w:iCs/>
          <w:sz w:val="22"/>
          <w:szCs w:val="22"/>
        </w:rPr>
      </w:pPr>
      <w:r w:rsidRPr="00C50A15">
        <w:rPr>
          <w:rFonts w:ascii="Arial" w:hAnsi="Arial" w:cs="Arial"/>
          <w:iCs/>
          <w:sz w:val="22"/>
          <w:szCs w:val="22"/>
        </w:rPr>
        <w:t>Drones</w:t>
      </w:r>
    </w:p>
    <w:p w14:paraId="7DFF7972" w14:textId="77777777" w:rsidR="005B215A" w:rsidRPr="00C50A15" w:rsidRDefault="005B215A" w:rsidP="005B215A">
      <w:pPr>
        <w:pStyle w:val="ListParagraph"/>
        <w:numPr>
          <w:ilvl w:val="0"/>
          <w:numId w:val="8"/>
        </w:numPr>
        <w:spacing w:after="160" w:line="256" w:lineRule="auto"/>
        <w:rPr>
          <w:rFonts w:ascii="Arial" w:hAnsi="Arial" w:cs="Arial"/>
          <w:iCs/>
          <w:sz w:val="22"/>
          <w:szCs w:val="22"/>
        </w:rPr>
      </w:pPr>
      <w:r w:rsidRPr="00C50A15">
        <w:rPr>
          <w:rFonts w:ascii="Arial" w:hAnsi="Arial" w:cs="Arial"/>
          <w:iCs/>
          <w:sz w:val="22"/>
          <w:szCs w:val="22"/>
        </w:rPr>
        <w:t>Physical Conditioning Supplies</w:t>
      </w:r>
    </w:p>
    <w:p w14:paraId="4CE30A04" w14:textId="77777777" w:rsidR="005B215A" w:rsidRPr="005B215A" w:rsidRDefault="005B215A" w:rsidP="005B215A">
      <w:pPr>
        <w:pStyle w:val="ListParagraph"/>
        <w:spacing w:after="160" w:line="256" w:lineRule="auto"/>
        <w:rPr>
          <w:rFonts w:ascii="Arial" w:hAnsi="Arial" w:cs="Arial"/>
          <w:i/>
          <w:sz w:val="22"/>
          <w:szCs w:val="22"/>
        </w:rPr>
        <w:sectPr w:rsidR="005B215A" w:rsidRPr="005B215A" w:rsidSect="00F04D40">
          <w:type w:val="continuous"/>
          <w:pgSz w:w="12240" w:h="15840"/>
          <w:pgMar w:top="1152" w:right="1440" w:bottom="1152" w:left="1440" w:header="720" w:footer="720" w:gutter="0"/>
          <w:cols w:num="2" w:space="720"/>
          <w:docGrid w:linePitch="360"/>
        </w:sectPr>
      </w:pPr>
    </w:p>
    <w:p w14:paraId="3D04222E" w14:textId="77777777" w:rsidR="005B215A" w:rsidRPr="00F364DA" w:rsidRDefault="005B215A" w:rsidP="005B215A">
      <w:pPr>
        <w:spacing w:after="160" w:line="256" w:lineRule="auto"/>
        <w:rPr>
          <w:rFonts w:ascii="Arial" w:hAnsi="Arial" w:cs="Arial"/>
          <w:b/>
          <w:i/>
          <w:sz w:val="22"/>
          <w:szCs w:val="22"/>
          <w:u w:val="single"/>
        </w:rPr>
      </w:pPr>
      <w:r w:rsidRPr="00F364DA">
        <w:rPr>
          <w:rFonts w:ascii="Arial" w:hAnsi="Arial" w:cs="Arial"/>
          <w:b/>
          <w:i/>
          <w:u w:val="single"/>
        </w:rPr>
        <w:t>The following, are only eligible as indirect costs:</w:t>
      </w:r>
    </w:p>
    <w:p w14:paraId="62A019AC" w14:textId="77777777" w:rsidR="005B215A" w:rsidRDefault="005B215A" w:rsidP="005B215A">
      <w:pPr>
        <w:spacing w:after="160" w:line="256" w:lineRule="auto"/>
        <w:rPr>
          <w:rFonts w:ascii="Arial" w:hAnsi="Arial" w:cs="Arial"/>
          <w:b/>
          <w:sz w:val="22"/>
          <w:szCs w:val="22"/>
        </w:rPr>
        <w:sectPr w:rsidR="005B215A" w:rsidSect="005B215A">
          <w:type w:val="continuous"/>
          <w:pgSz w:w="12240" w:h="15840"/>
          <w:pgMar w:top="1152" w:right="1440" w:bottom="1152" w:left="1440" w:header="720" w:footer="720" w:gutter="0"/>
          <w:cols w:space="720"/>
          <w:docGrid w:linePitch="360"/>
        </w:sectPr>
      </w:pPr>
    </w:p>
    <w:p w14:paraId="3305C8F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Laptops/Accessories</w:t>
      </w:r>
    </w:p>
    <w:p w14:paraId="7FFB20F0"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Cell Phones/Accessories</w:t>
      </w:r>
    </w:p>
    <w:p w14:paraId="602B916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iPad Accessories</w:t>
      </w:r>
    </w:p>
    <w:p w14:paraId="0275B36D" w14:textId="6E0393D8" w:rsidR="005B215A" w:rsidRDefault="00C50A15"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Handheld</w:t>
      </w:r>
      <w:r w:rsidR="005B215A">
        <w:rPr>
          <w:rFonts w:ascii="Arial" w:hAnsi="Arial" w:cs="Arial"/>
          <w:sz w:val="22"/>
          <w:szCs w:val="22"/>
        </w:rPr>
        <w:t xml:space="preserve"> Radios</w:t>
      </w:r>
    </w:p>
    <w:p w14:paraId="78710701"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Camera Accessories</w:t>
      </w:r>
    </w:p>
    <w:p w14:paraId="2326AA3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GPS Accessories</w:t>
      </w:r>
    </w:p>
    <w:p w14:paraId="1D5D3D07" w14:textId="77777777" w:rsid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Service Plans (i.e. Radar, SAT, Emergency Beacon Services etc.)</w:t>
      </w:r>
    </w:p>
    <w:p w14:paraId="1CFAF3B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br w:type="column"/>
      </w:r>
      <w:r>
        <w:rPr>
          <w:rFonts w:ascii="Arial" w:hAnsi="Arial" w:cs="Arial"/>
          <w:sz w:val="22"/>
          <w:szCs w:val="22"/>
        </w:rPr>
        <w:t>Batteries</w:t>
      </w:r>
    </w:p>
    <w:p w14:paraId="626543F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Uniforms</w:t>
      </w:r>
    </w:p>
    <w:p w14:paraId="61EE592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Instructor Training</w:t>
      </w:r>
    </w:p>
    <w:p w14:paraId="0FDF7DB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Perishable skills and all other training not specific to OHV enforcement</w:t>
      </w:r>
    </w:p>
    <w:p w14:paraId="0BE5DC8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Car Ports/Storage</w:t>
      </w:r>
    </w:p>
    <w:p w14:paraId="0C4ABA42" w14:textId="77777777" w:rsidR="005B215A" w:rsidRP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Brochures/Printing</w:t>
      </w:r>
    </w:p>
    <w:sectPr w:rsidR="005B215A" w:rsidRPr="005B215A"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0A6BB" w14:textId="77777777" w:rsidR="000B3D0B" w:rsidRDefault="000B3D0B" w:rsidP="0073175F">
      <w:r>
        <w:separator/>
      </w:r>
    </w:p>
  </w:endnote>
  <w:endnote w:type="continuationSeparator" w:id="0">
    <w:p w14:paraId="78CB7D82" w14:textId="77777777" w:rsidR="000B3D0B" w:rsidRDefault="000B3D0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CAF8" w14:textId="428A8587" w:rsidR="00407912" w:rsidRPr="00407912" w:rsidRDefault="00F956ED" w:rsidP="00326B0A">
    <w:pPr>
      <w:pStyle w:val="Footer"/>
      <w:jc w:val="right"/>
      <w:rPr>
        <w:rFonts w:ascii="Arial" w:hAnsi="Arial" w:cs="Arial"/>
        <w:sz w:val="22"/>
        <w:szCs w:val="22"/>
      </w:rPr>
    </w:pPr>
    <w:r w:rsidRPr="00F956ED">
      <w:rPr>
        <w:rFonts w:ascii="Arial" w:hAnsi="Arial" w:cs="Arial"/>
        <w:sz w:val="22"/>
        <w:szCs w:val="22"/>
      </w:rPr>
      <w:t>BLM – Needles Field office</w:t>
    </w:r>
    <w:r w:rsidR="00C50759">
      <w:rPr>
        <w:rFonts w:ascii="Arial" w:hAnsi="Arial" w:cs="Arial"/>
        <w:sz w:val="22"/>
        <w:szCs w:val="22"/>
      </w:rPr>
      <w:t>–</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5622" w14:textId="77777777" w:rsidR="000B3D0B" w:rsidRDefault="000B3D0B" w:rsidP="0073175F">
      <w:r>
        <w:separator/>
      </w:r>
    </w:p>
  </w:footnote>
  <w:footnote w:type="continuationSeparator" w:id="0">
    <w:p w14:paraId="2013F6B4" w14:textId="77777777" w:rsidR="000B3D0B" w:rsidRDefault="000B3D0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497E2" w14:textId="17270B32" w:rsidR="00F04D40" w:rsidRPr="00F04D40" w:rsidRDefault="008616EC" w:rsidP="00F04D40">
    <w:pPr>
      <w:tabs>
        <w:tab w:val="center" w:pos="4320"/>
        <w:tab w:val="right" w:pos="8640"/>
      </w:tabs>
      <w:jc w:val="center"/>
      <w:rPr>
        <w:rFonts w:ascii="Arial" w:hAnsi="Arial" w:cs="Arial"/>
        <w:sz w:val="28"/>
        <w:szCs w:val="28"/>
      </w:rPr>
    </w:pPr>
    <w:r>
      <w:rPr>
        <w:rFonts w:ascii="Arial" w:hAnsi="Arial" w:cs="Arial"/>
        <w:sz w:val="28"/>
        <w:szCs w:val="28"/>
      </w:rPr>
      <w:t>20</w:t>
    </w:r>
    <w:r w:rsidR="00457CF1">
      <w:rPr>
        <w:rFonts w:ascii="Arial" w:hAnsi="Arial" w:cs="Arial"/>
        <w:sz w:val="28"/>
        <w:szCs w:val="28"/>
      </w:rPr>
      <w:t>21</w:t>
    </w:r>
    <w:r w:rsidR="0029370F">
      <w:rPr>
        <w:rFonts w:ascii="Arial" w:hAnsi="Arial" w:cs="Arial"/>
        <w:sz w:val="28"/>
        <w:szCs w:val="28"/>
      </w:rPr>
      <w:t xml:space="preserve"> </w:t>
    </w:r>
    <w:r w:rsidR="00C50759">
      <w:rPr>
        <w:rFonts w:ascii="Arial" w:hAnsi="Arial" w:cs="Arial"/>
        <w:sz w:val="28"/>
        <w:szCs w:val="28"/>
      </w:rPr>
      <w:t>Grant</w:t>
    </w:r>
    <w:r w:rsidR="00F04D40" w:rsidRPr="00F04D40">
      <w:rPr>
        <w:rFonts w:ascii="Arial" w:hAnsi="Arial" w:cs="Arial"/>
        <w:sz w:val="28"/>
        <w:szCs w:val="28"/>
      </w:rPr>
      <w: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3FA/9cpY7uYQltyllTGEsgCJ/zqu4x+Sxb96cXHlVeOMcCGDBbugy6MiBd4RQSOe3BBV7XQEu/dNCkDx8Aqlaw==" w:salt="8F6VMmDyx6ZCUuupP879S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74C8D"/>
    <w:rsid w:val="000B3D0B"/>
    <w:rsid w:val="001B4204"/>
    <w:rsid w:val="001E1516"/>
    <w:rsid w:val="001F2C6F"/>
    <w:rsid w:val="001F3F94"/>
    <w:rsid w:val="0029370F"/>
    <w:rsid w:val="002D16BE"/>
    <w:rsid w:val="002E180A"/>
    <w:rsid w:val="002E2E6C"/>
    <w:rsid w:val="00326B0A"/>
    <w:rsid w:val="0036720B"/>
    <w:rsid w:val="003676DA"/>
    <w:rsid w:val="003A06CD"/>
    <w:rsid w:val="003F0741"/>
    <w:rsid w:val="00407912"/>
    <w:rsid w:val="00414D4C"/>
    <w:rsid w:val="00423018"/>
    <w:rsid w:val="00457CF1"/>
    <w:rsid w:val="004A4EF2"/>
    <w:rsid w:val="004B66C8"/>
    <w:rsid w:val="004C7DBD"/>
    <w:rsid w:val="004E2E5A"/>
    <w:rsid w:val="00514C2A"/>
    <w:rsid w:val="0052412F"/>
    <w:rsid w:val="005A255C"/>
    <w:rsid w:val="005B215A"/>
    <w:rsid w:val="006233CA"/>
    <w:rsid w:val="00647F99"/>
    <w:rsid w:val="00681DC9"/>
    <w:rsid w:val="00687C41"/>
    <w:rsid w:val="006D2D2E"/>
    <w:rsid w:val="006F5824"/>
    <w:rsid w:val="00707DAC"/>
    <w:rsid w:val="00720A7E"/>
    <w:rsid w:val="0073175F"/>
    <w:rsid w:val="00742E02"/>
    <w:rsid w:val="007A34A5"/>
    <w:rsid w:val="007B3185"/>
    <w:rsid w:val="007C3ABC"/>
    <w:rsid w:val="007F05E3"/>
    <w:rsid w:val="007F47F4"/>
    <w:rsid w:val="00842AF1"/>
    <w:rsid w:val="008616EC"/>
    <w:rsid w:val="00877C0F"/>
    <w:rsid w:val="008D3242"/>
    <w:rsid w:val="00923145"/>
    <w:rsid w:val="009460E1"/>
    <w:rsid w:val="009B0EDD"/>
    <w:rsid w:val="009C76D5"/>
    <w:rsid w:val="009D3797"/>
    <w:rsid w:val="009E0A6D"/>
    <w:rsid w:val="009E630B"/>
    <w:rsid w:val="00A6778D"/>
    <w:rsid w:val="00A72250"/>
    <w:rsid w:val="00A86CD2"/>
    <w:rsid w:val="00A97E10"/>
    <w:rsid w:val="00AD1DA9"/>
    <w:rsid w:val="00AD2ABC"/>
    <w:rsid w:val="00AD2CD2"/>
    <w:rsid w:val="00B00365"/>
    <w:rsid w:val="00B2308F"/>
    <w:rsid w:val="00B23CD2"/>
    <w:rsid w:val="00B71734"/>
    <w:rsid w:val="00B723AA"/>
    <w:rsid w:val="00B75280"/>
    <w:rsid w:val="00B87F70"/>
    <w:rsid w:val="00B93326"/>
    <w:rsid w:val="00C1421F"/>
    <w:rsid w:val="00C50759"/>
    <w:rsid w:val="00C50A15"/>
    <w:rsid w:val="00C51866"/>
    <w:rsid w:val="00C700C3"/>
    <w:rsid w:val="00CD7452"/>
    <w:rsid w:val="00D0286A"/>
    <w:rsid w:val="00D059AA"/>
    <w:rsid w:val="00D43F97"/>
    <w:rsid w:val="00D66664"/>
    <w:rsid w:val="00D858A8"/>
    <w:rsid w:val="00DE67A9"/>
    <w:rsid w:val="00E4007D"/>
    <w:rsid w:val="00E53D69"/>
    <w:rsid w:val="00E8133C"/>
    <w:rsid w:val="00E8317A"/>
    <w:rsid w:val="00EA4929"/>
    <w:rsid w:val="00F04D40"/>
    <w:rsid w:val="00F364DA"/>
    <w:rsid w:val="00F514BA"/>
    <w:rsid w:val="00F7131D"/>
    <w:rsid w:val="00F878AC"/>
    <w:rsid w:val="00F956ED"/>
    <w:rsid w:val="00FA6F2F"/>
    <w:rsid w:val="00FB4E68"/>
    <w:rsid w:val="00FB78E1"/>
    <w:rsid w:val="00FF002E"/>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paragraph" w:styleId="BalloonText">
    <w:name w:val="Balloon Text"/>
    <w:basedOn w:val="Normal"/>
    <w:link w:val="BalloonTextChar"/>
    <w:uiPriority w:val="99"/>
    <w:semiHidden/>
    <w:unhideWhenUsed/>
    <w:rsid w:val="009D3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7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955</Words>
  <Characters>5447</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17</cp:revision>
  <cp:lastPrinted>2021-08-04T18:52:00Z</cp:lastPrinted>
  <dcterms:created xsi:type="dcterms:W3CDTF">2021-06-23T17:39:00Z</dcterms:created>
  <dcterms:modified xsi:type="dcterms:W3CDTF">2021-08-06T00:30:00Z</dcterms:modified>
</cp:coreProperties>
</file>